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pPr>
      <w:r>
        <w:rPr>
          <w:rFonts w:ascii="Calibri" w:cs="Calibri" w:eastAsia="Calibri" w:hAnsi="Calibri"/>
          <w:b w:val="false"/>
          <w:bCs w:val="false"/>
          <w:i w:val="false"/>
          <w:iCs w:val="false"/>
          <w:caps w:val="false"/>
          <w:color w:val="2C3440"/>
          <w:sz w:val="2"/>
          <w:szCs w:val="2"/>
        </w:rPr>
        <w:t xml:space="preserve"/>
      </w:r>
    </w:p>
    <w:p>
      <w:pPr>
        <w:spacing w:after="60"/>
      </w:pPr>
      <w:r>
        <w:rPr>
          <w:rFonts w:ascii="Calibri" w:cs="Calibri" w:eastAsia="Calibri" w:hAnsi="Calibri"/>
          <w:b/>
          <w:bCs/>
          <w:i w:val="false"/>
          <w:iCs w:val="false"/>
          <w:caps/>
          <w:color w:val="078037"/>
          <w:spacing w:val="60"/>
          <w:sz w:val="18"/>
          <w:szCs w:val="18"/>
        </w:rPr>
        <w:t xml:space="preserve">COMMERCIAL CLEANING</w:t>
      </w:r>
    </w:p>
    <w:p>
      <w:pPr>
        <w:spacing w:after="300"/>
      </w:pPr>
      <w:r>
        <w:rPr>
          <w:rFonts w:ascii="Georgia" w:cs="Georgia" w:eastAsia="Georgia" w:hAnsi="Georgia"/>
          <w:b/>
          <w:bCs/>
          <w:i w:val="false"/>
          <w:iCs w:val="false"/>
          <w:caps w:val="false"/>
          <w:color w:val="2C3440"/>
          <w:sz w:val="46"/>
          <w:szCs w:val="46"/>
        </w:rPr>
        <w:t xml:space="preserve">Service Proposal</w:t>
      </w:r>
    </w:p>
    <w:p>
      <w:pPr>
        <w:pBdr>
          <w:bottom w:val="single" w:color="078037" w:sz="18" w:space="1"/>
        </w:pBdr>
        <w:spacing w:after="360" w:before="40"/>
      </w:pPr>
      <w:r>
        <w:rPr>
          <w:rFonts w:ascii="Calibri" w:cs="Calibri" w:eastAsia="Calibri" w:hAnsi="Calibri"/>
          <w:b w:val="false"/>
          <w:bCs w:val="false"/>
          <w:i w:val="false"/>
          <w:iCs w:val="false"/>
          <w:caps w:val="false"/>
          <w:color w:val="2C3440"/>
          <w:sz w:val="2"/>
          <w:szCs w:val="2"/>
        </w:rPr>
        <w:t xml:space="preserve"/>
      </w:r>
    </w:p>
    <w:p>
      <w:pPr>
        <w:spacing w:after="90" w:line="264"/>
      </w:pPr>
      <w:r>
        <w:rPr>
          <w:rFonts w:ascii="Calibri" w:cs="Calibri" w:eastAsia="Calibri" w:hAnsi="Calibri"/>
          <w:b/>
          <w:bCs/>
          <w:i w:val="false"/>
          <w:iCs w:val="false"/>
          <w:caps w:val="false"/>
          <w:color w:val="2C3440"/>
          <w:sz w:val="19"/>
          <w:szCs w:val="19"/>
        </w:rPr>
        <w:t xml:space="preserve">Prepared for: </w:t>
      </w:r>
      <w:r>
        <w:rPr>
          <w:rFonts w:ascii="Calibri" w:cs="Calibri" w:eastAsia="Calibri" w:hAnsi="Calibri"/>
          <w:b w:val="false"/>
          <w:bCs w:val="false"/>
          <w:i w:val="false"/>
          <w:iCs w:val="false"/>
          <w:caps w:val="false"/>
          <w:color w:val="2C3440"/>
          <w:sz w:val="19"/>
          <w:szCs w:val="19"/>
        </w:rPr>
        <w:t xml:space="preserve">Brookfield Commons</w:t>
      </w:r>
    </w:p>
    <w:p>
      <w:pPr>
        <w:spacing w:after="90" w:line="264"/>
      </w:pPr>
      <w:r>
        <w:rPr>
          <w:rFonts w:ascii="Calibri" w:cs="Calibri" w:eastAsia="Calibri" w:hAnsi="Calibri"/>
          <w:b/>
          <w:bCs/>
          <w:i w:val="false"/>
          <w:iCs w:val="false"/>
          <w:caps w:val="false"/>
          <w:color w:val="2C3440"/>
          <w:sz w:val="19"/>
          <w:szCs w:val="19"/>
        </w:rPr>
        <w:t xml:space="preserve">Property: </w:t>
      </w:r>
      <w:r>
        <w:rPr>
          <w:rFonts w:ascii="Calibri" w:cs="Calibri" w:eastAsia="Calibri" w:hAnsi="Calibri"/>
          <w:b w:val="false"/>
          <w:bCs w:val="false"/>
          <w:i w:val="false"/>
          <w:iCs w:val="false"/>
          <w:caps w:val="false"/>
          <w:color w:val="2C3440"/>
          <w:sz w:val="19"/>
          <w:szCs w:val="19"/>
        </w:rPr>
        <w:t xml:space="preserve">1400 Ridgefield Parkway, Parsippany, NJ 07054</w:t>
      </w:r>
    </w:p>
    <w:p>
      <w:pPr>
        <w:spacing w:after="90" w:line="264"/>
      </w:pPr>
      <w:r>
        <w:rPr>
          <w:rFonts w:ascii="Calibri" w:cs="Calibri" w:eastAsia="Calibri" w:hAnsi="Calibri"/>
          <w:b/>
          <w:bCs/>
          <w:i w:val="false"/>
          <w:iCs w:val="false"/>
          <w:caps w:val="false"/>
          <w:color w:val="2C3440"/>
          <w:sz w:val="19"/>
          <w:szCs w:val="19"/>
        </w:rPr>
        <w:t xml:space="preserve">Attention: </w:t>
      </w:r>
      <w:r>
        <w:rPr>
          <w:rFonts w:ascii="Calibri" w:cs="Calibri" w:eastAsia="Calibri" w:hAnsi="Calibri"/>
          <w:b w:val="false"/>
          <w:bCs w:val="false"/>
          <w:i w:val="false"/>
          <w:iCs w:val="false"/>
          <w:caps w:val="false"/>
          <w:color w:val="2C3440"/>
          <w:sz w:val="19"/>
          <w:szCs w:val="19"/>
        </w:rPr>
        <w:t xml:space="preserve">Diane Reyes, Property Manager</w:t>
      </w:r>
    </w:p>
    <w:p>
      <w:pPr>
        <w:spacing w:after="90" w:line="264"/>
      </w:pPr>
      <w:r>
        <w:rPr>
          <w:rFonts w:ascii="Calibri" w:cs="Calibri" w:eastAsia="Calibri" w:hAnsi="Calibri"/>
          <w:b/>
          <w:bCs/>
          <w:i w:val="false"/>
          <w:iCs w:val="false"/>
          <w:caps w:val="false"/>
          <w:color w:val="2C3440"/>
          <w:sz w:val="19"/>
          <w:szCs w:val="19"/>
        </w:rPr>
        <w:t xml:space="preserve">Prepared by: </w:t>
      </w:r>
      <w:r>
        <w:rPr>
          <w:rFonts w:ascii="Calibri" w:cs="Calibri" w:eastAsia="Calibri" w:hAnsi="Calibri"/>
          <w:b w:val="false"/>
          <w:bCs w:val="false"/>
          <w:i w:val="false"/>
          <w:iCs w:val="false"/>
          <w:caps w:val="false"/>
          <w:color w:val="2C3440"/>
          <w:sz w:val="19"/>
          <w:szCs w:val="19"/>
        </w:rPr>
        <w:t xml:space="preserve">Northline Building Services, LLC</w:t>
      </w:r>
    </w:p>
    <w:p>
      <w:pPr>
        <w:spacing w:after="90" w:line="264"/>
      </w:pPr>
      <w:r>
        <w:rPr>
          <w:rFonts w:ascii="Calibri" w:cs="Calibri" w:eastAsia="Calibri" w:hAnsi="Calibri"/>
          <w:b/>
          <w:bCs/>
          <w:i w:val="false"/>
          <w:iCs w:val="false"/>
          <w:caps w:val="false"/>
          <w:color w:val="2C3440"/>
          <w:sz w:val="19"/>
          <w:szCs w:val="19"/>
        </w:rPr>
        <w:t xml:space="preserve">Contact: </w:t>
      </w:r>
      <w:r>
        <w:rPr>
          <w:rFonts w:ascii="Calibri" w:cs="Calibri" w:eastAsia="Calibri" w:hAnsi="Calibri"/>
          <w:b w:val="false"/>
          <w:bCs w:val="false"/>
          <w:i w:val="false"/>
          <w:iCs w:val="false"/>
          <w:caps w:val="false"/>
          <w:color w:val="2C3440"/>
          <w:sz w:val="19"/>
          <w:szCs w:val="19"/>
        </w:rPr>
        <w:t xml:space="preserve">Marcus Hale · (973) 555–0148 · mhale@example.com</w:t>
      </w:r>
    </w:p>
    <w:p>
      <w:pPr>
        <w:spacing w:after="90" w:line="264"/>
      </w:pPr>
      <w:r>
        <w:rPr>
          <w:rFonts w:ascii="Calibri" w:cs="Calibri" w:eastAsia="Calibri" w:hAnsi="Calibri"/>
          <w:b/>
          <w:bCs/>
          <w:i w:val="false"/>
          <w:iCs w:val="false"/>
          <w:caps w:val="false"/>
          <w:color w:val="2C3440"/>
          <w:sz w:val="19"/>
          <w:szCs w:val="19"/>
        </w:rPr>
        <w:t xml:space="preserve">Proposal number: </w:t>
      </w:r>
      <w:r>
        <w:rPr>
          <w:rFonts w:ascii="Calibri" w:cs="Calibri" w:eastAsia="Calibri" w:hAnsi="Calibri"/>
          <w:b w:val="false"/>
          <w:bCs w:val="false"/>
          <w:i w:val="false"/>
          <w:iCs w:val="false"/>
          <w:caps w:val="false"/>
          <w:color w:val="2C3440"/>
          <w:sz w:val="19"/>
          <w:szCs w:val="19"/>
        </w:rPr>
        <w:t xml:space="preserve">P-2026-0184</w:t>
      </w:r>
    </w:p>
    <w:p>
      <w:pPr>
        <w:spacing w:after="90" w:line="264"/>
      </w:pPr>
      <w:r>
        <w:rPr>
          <w:rFonts w:ascii="Calibri" w:cs="Calibri" w:eastAsia="Calibri" w:hAnsi="Calibri"/>
          <w:b/>
          <w:bCs/>
          <w:i w:val="false"/>
          <w:iCs w:val="false"/>
          <w:caps w:val="false"/>
          <w:color w:val="2C3440"/>
          <w:sz w:val="19"/>
          <w:szCs w:val="19"/>
        </w:rPr>
        <w:t xml:space="preserve">Date issued: </w:t>
      </w:r>
      <w:r>
        <w:rPr>
          <w:rFonts w:ascii="Calibri" w:cs="Calibri" w:eastAsia="Calibri" w:hAnsi="Calibri"/>
          <w:b w:val="false"/>
          <w:bCs w:val="false"/>
          <w:i w:val="false"/>
          <w:iCs w:val="false"/>
          <w:caps w:val="false"/>
          <w:color w:val="2C3440"/>
          <w:sz w:val="19"/>
          <w:szCs w:val="19"/>
        </w:rPr>
        <w:t xml:space="preserve">03/04/2026</w:t>
      </w:r>
    </w:p>
    <w:p>
      <w:pPr>
        <w:spacing w:after="90" w:line="264"/>
      </w:pPr>
      <w:r>
        <w:rPr>
          <w:rFonts w:ascii="Calibri" w:cs="Calibri" w:eastAsia="Calibri" w:hAnsi="Calibri"/>
          <w:b/>
          <w:bCs/>
          <w:i w:val="false"/>
          <w:iCs w:val="false"/>
          <w:caps w:val="false"/>
          <w:color w:val="2C3440"/>
          <w:sz w:val="19"/>
          <w:szCs w:val="19"/>
        </w:rPr>
        <w:t xml:space="preserve">Valid through: </w:t>
      </w:r>
      <w:r>
        <w:rPr>
          <w:rFonts w:ascii="Calibri" w:cs="Calibri" w:eastAsia="Calibri" w:hAnsi="Calibri"/>
          <w:b w:val="false"/>
          <w:bCs w:val="false"/>
          <w:i w:val="false"/>
          <w:iCs w:val="false"/>
          <w:caps w:val="false"/>
          <w:color w:val="2C3440"/>
          <w:sz w:val="19"/>
          <w:szCs w:val="19"/>
        </w:rPr>
        <w:t xml:space="preserve">04/03/2026</w:t>
      </w:r>
    </w:p>
    <w:p>
      <w:pPr>
        <w:spacing w:after="420"/>
      </w:pPr>
      <w:r>
        <w:rPr>
          <w:rFonts w:ascii="Calibri" w:cs="Calibri" w:eastAsia="Calibri" w:hAnsi="Calibri"/>
          <w:b w:val="false"/>
          <w:bCs w:val="false"/>
          <w:i w:val="false"/>
          <w:iCs w:val="false"/>
          <w:caps w:val="false"/>
          <w:color w:val="2C3440"/>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7F4EE" w:sz="0"/>
              <w:left w:val="single" w:color="2C3440" w:sz="18"/>
              <w:bottom w:val="none" w:color="F7F4EE" w:sz="0"/>
              <w:right w:val="none" w:color="F7F4EE" w:sz="0"/>
            </w:tcBorders>
            <w:shd w:fill="F7F4EE" w:color="auto" w:val="clear"/>
            <w:tcMar>
              <w:top w:type="dxa" w:w="200"/>
              <w:left w:type="dxa" w:w="220"/>
              <w:bottom w:type="dxa" w:w="200"/>
              <w:right w:type="dxa" w:w="220"/>
            </w:tcMar>
          </w:tcPr>
          <w:p>
            <w:pPr>
              <w:spacing w:after="80"/>
            </w:pPr>
            <w:r>
              <w:rPr>
                <w:rFonts w:ascii="Calibri" w:cs="Calibri" w:eastAsia="Calibri" w:hAnsi="Calibri"/>
                <w:b/>
                <w:bCs/>
                <w:i w:val="false"/>
                <w:iCs w:val="false"/>
                <w:caps/>
                <w:color w:val="2C3440"/>
                <w:spacing w:val="25"/>
                <w:sz w:val="17"/>
                <w:szCs w:val="17"/>
              </w:rPr>
              <w:t xml:space="preserve">This is a completed sample</w:t>
            </w:r>
          </w:p>
          <w:p>
            <w:pPr>
              <w:spacing w:after="100" w:line="264"/>
            </w:pPr>
            <w:r>
              <w:rPr>
                <w:rFonts w:ascii="Calibri" w:cs="Calibri" w:eastAsia="Calibri" w:hAnsi="Calibri"/>
                <w:b w:val="false"/>
                <w:bCs w:val="false"/>
                <w:i w:val="false"/>
                <w:iCs w:val="false"/>
                <w:caps w:val="false"/>
                <w:color w:val="2C3440"/>
                <w:sz w:val="18"/>
                <w:szCs w:val="18"/>
              </w:rPr>
              <w:t xml:space="preserve">This is the ProTeams commercial cleaning proposal template, filled out end to end for one building. Every name, address, and figure is illustrative.</w:t>
            </w:r>
          </w:p>
          <w:p>
            <w:pPr>
              <w:spacing w:after="100" w:line="264"/>
            </w:pPr>
            <w:r>
              <w:rPr>
                <w:rFonts w:ascii="Calibri" w:cs="Calibri" w:eastAsia="Calibri" w:hAnsi="Calibri"/>
                <w:b w:val="false"/>
                <w:bCs w:val="false"/>
                <w:i w:val="false"/>
                <w:iCs w:val="false"/>
                <w:caps w:val="false"/>
                <w:color w:val="2C3440"/>
                <w:sz w:val="18"/>
                <w:szCs w:val="18"/>
              </w:rPr>
              <w:t xml:space="preserve">It exists so you can see what a finished proposal looks like before you fill in your own. Do not send it as-is.</w:t>
            </w:r>
          </w:p>
          <w:p>
            <w:pPr>
              <w:spacing w:after="0" w:line="264"/>
            </w:pPr>
            <w:r>
              <w:rPr>
                <w:rFonts w:ascii="Calibri" w:cs="Calibri" w:eastAsia="Calibri" w:hAnsi="Calibri"/>
                <w:b/>
                <w:bCs/>
                <w:i w:val="false"/>
                <w:iCs w:val="false"/>
                <w:caps w:val="false"/>
                <w:color w:val="2C3440"/>
                <w:sz w:val="18"/>
                <w:szCs w:val="18"/>
              </w:rPr>
              <w:t xml:space="preserve">The last page is an internal reference showing exactly how the monthly price was built. Delete it before sending.</w:t>
            </w:r>
          </w:p>
        </w:tc>
      </w:tr>
    </w:tbl>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1. Overview</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This proposal covers recurring commercial cleaning services for the property named above. It defines the scope of work, the frequency of each task, the pricing, and the terms under which service is delivered and verified.</w:t>
      </w:r>
    </w:p>
    <w:p>
      <w:pPr>
        <w:spacing w:after="80"/>
      </w:pPr>
      <w:r>
        <w:rPr>
          <w:rFonts w:ascii="Calibri" w:cs="Calibri" w:eastAsia="Calibri" w:hAnsi="Calibri"/>
          <w:b w:val="false"/>
          <w:bCs w:val="false"/>
          <w:i w:val="false"/>
          <w:iCs w:val="false"/>
          <w:caps w:val="false"/>
          <w:color w:val="2C3440"/>
          <w:sz w:val="2"/>
          <w:szCs w:val="2"/>
        </w:rPr>
        <w:t xml:space="preserve"/>
      </w:r>
    </w:p>
    <w:p>
      <w:pPr>
        <w:spacing w:after="90" w:line="264"/>
      </w:pPr>
      <w:r>
        <w:rPr>
          <w:rFonts w:ascii="Calibri" w:cs="Calibri" w:eastAsia="Calibri" w:hAnsi="Calibri"/>
          <w:b/>
          <w:bCs/>
          <w:i w:val="false"/>
          <w:iCs w:val="false"/>
          <w:caps w:val="false"/>
          <w:color w:val="2C3440"/>
          <w:sz w:val="19"/>
          <w:szCs w:val="19"/>
        </w:rPr>
        <w:t xml:space="preserve">Total cleanable square footage: </w:t>
      </w:r>
      <w:r>
        <w:rPr>
          <w:rFonts w:ascii="Calibri" w:cs="Calibri" w:eastAsia="Calibri" w:hAnsi="Calibri"/>
          <w:b w:val="false"/>
          <w:bCs w:val="false"/>
          <w:i w:val="false"/>
          <w:iCs w:val="false"/>
          <w:caps w:val="false"/>
          <w:color w:val="2C3440"/>
          <w:sz w:val="19"/>
          <w:szCs w:val="19"/>
        </w:rPr>
        <w:t xml:space="preserve">45,000 sq ft</w:t>
      </w:r>
    </w:p>
    <w:p>
      <w:pPr>
        <w:spacing w:after="90" w:line="264"/>
      </w:pPr>
      <w:r>
        <w:rPr>
          <w:rFonts w:ascii="Calibri" w:cs="Calibri" w:eastAsia="Calibri" w:hAnsi="Calibri"/>
          <w:b/>
          <w:bCs/>
          <w:i w:val="false"/>
          <w:iCs w:val="false"/>
          <w:caps w:val="false"/>
          <w:color w:val="2C3440"/>
          <w:sz w:val="19"/>
          <w:szCs w:val="19"/>
        </w:rPr>
        <w:t xml:space="preserve">Building type: </w:t>
      </w:r>
      <w:r>
        <w:rPr>
          <w:rFonts w:ascii="Calibri" w:cs="Calibri" w:eastAsia="Calibri" w:hAnsi="Calibri"/>
          <w:b w:val="false"/>
          <w:bCs w:val="false"/>
          <w:i w:val="false"/>
          <w:iCs w:val="false"/>
          <w:caps w:val="false"/>
          <w:color w:val="2C3440"/>
          <w:sz w:val="19"/>
          <w:szCs w:val="19"/>
        </w:rPr>
        <w:t xml:space="preserve">Office — multi-tenant, 11 tenants</w:t>
      </w:r>
    </w:p>
    <w:p>
      <w:pPr>
        <w:spacing w:after="90" w:line="264"/>
      </w:pPr>
      <w:r>
        <w:rPr>
          <w:rFonts w:ascii="Calibri" w:cs="Calibri" w:eastAsia="Calibri" w:hAnsi="Calibri"/>
          <w:b/>
          <w:bCs/>
          <w:i w:val="false"/>
          <w:iCs w:val="false"/>
          <w:caps w:val="false"/>
          <w:color w:val="2C3440"/>
          <w:sz w:val="19"/>
          <w:szCs w:val="19"/>
        </w:rPr>
        <w:t xml:space="preserve">Service window: </w:t>
      </w:r>
      <w:r>
        <w:rPr>
          <w:rFonts w:ascii="Calibri" w:cs="Calibri" w:eastAsia="Calibri" w:hAnsi="Calibri"/>
          <w:b w:val="false"/>
          <w:bCs w:val="false"/>
          <w:i w:val="false"/>
          <w:iCs w:val="false"/>
          <w:caps w:val="false"/>
          <w:color w:val="2C3440"/>
          <w:sz w:val="19"/>
          <w:szCs w:val="19"/>
        </w:rPr>
        <w:t xml:space="preserve">After 6:30 PM, Monday–Friday</w:t>
      </w:r>
    </w:p>
    <w:p>
      <w:pPr>
        <w:spacing w:after="90" w:line="264"/>
      </w:pPr>
      <w:r>
        <w:rPr>
          <w:rFonts w:ascii="Calibri" w:cs="Calibri" w:eastAsia="Calibri" w:hAnsi="Calibri"/>
          <w:b/>
          <w:bCs/>
          <w:i w:val="false"/>
          <w:iCs w:val="false"/>
          <w:caps w:val="false"/>
          <w:color w:val="2C3440"/>
          <w:sz w:val="19"/>
          <w:szCs w:val="19"/>
        </w:rPr>
        <w:t xml:space="preserve">Proposed start date: </w:t>
      </w:r>
      <w:r>
        <w:rPr>
          <w:rFonts w:ascii="Calibri" w:cs="Calibri" w:eastAsia="Calibri" w:hAnsi="Calibri"/>
          <w:b w:val="false"/>
          <w:bCs w:val="false"/>
          <w:i w:val="false"/>
          <w:iCs w:val="false"/>
          <w:caps w:val="false"/>
          <w:color w:val="2C3440"/>
          <w:sz w:val="19"/>
          <w:szCs w:val="19"/>
        </w:rPr>
        <w:t xml:space="preserve">04/01/2026</w:t>
      </w:r>
    </w:p>
    <w:p>
      <w:pPr>
        <w:spacing w:after="90" w:line="264"/>
      </w:pPr>
      <w:r>
        <w:rPr>
          <w:rFonts w:ascii="Calibri" w:cs="Calibri" w:eastAsia="Calibri" w:hAnsi="Calibri"/>
          <w:b/>
          <w:bCs/>
          <w:i w:val="false"/>
          <w:iCs w:val="false"/>
          <w:caps w:val="false"/>
          <w:color w:val="2C3440"/>
          <w:sz w:val="19"/>
          <w:szCs w:val="19"/>
        </w:rPr>
        <w:t xml:space="preserve">Crew size: </w:t>
      </w:r>
      <w:r>
        <w:rPr>
          <w:rFonts w:ascii="Calibri" w:cs="Calibri" w:eastAsia="Calibri" w:hAnsi="Calibri"/>
          <w:b w:val="false"/>
          <w:bCs w:val="false"/>
          <w:i w:val="false"/>
          <w:iCs w:val="false"/>
          <w:caps w:val="false"/>
          <w:color w:val="2C3440"/>
          <w:sz w:val="19"/>
          <w:szCs w:val="19"/>
        </w:rPr>
        <w:t xml:space="preserve">2 cleaners per shift</w:t>
      </w:r>
    </w:p>
    <w:p>
      <w:pPr>
        <w:spacing w:after="60"/>
      </w:pPr>
      <w:r>
        <w:rPr>
          <w:rFonts w:ascii="Calibri" w:cs="Calibri" w:eastAsia="Calibri" w:hAnsi="Calibri"/>
          <w:b w:val="false"/>
          <w:bCs w:val="false"/>
          <w:i w:val="false"/>
          <w:iCs w:val="false"/>
          <w:caps w:val="false"/>
          <w:color w:val="2C3440"/>
          <w:sz w:val="2"/>
          <w:szCs w:val="2"/>
        </w:rPr>
        <w:t xml:space="preserve"/>
      </w:r>
    </w:p>
    <w:p>
      <w:pPr>
        <w:spacing w:after="180" w:before="60" w:line="264"/>
        <w:ind w:left="280"/>
      </w:pPr>
      <w:r>
        <w:rPr>
          <w:rFonts w:ascii="Calibri" w:cs="Calibri" w:eastAsia="Calibri" w:hAnsi="Calibri"/>
          <w:b w:val="false"/>
          <w:bCs w:val="false"/>
          <w:i/>
          <w:iCs/>
          <w:caps w:val="false"/>
          <w:color w:val="6B7480"/>
          <w:sz w:val="17"/>
          <w:szCs w:val="17"/>
        </w:rPr>
        <w:t xml:space="preserve">Cleanable square footage, not rentable. Rentable for this building is 48,400 sq ft; the difference is mechanical space, IT closets, and wall thickness that no one cleans.</w:t>
      </w:r>
    </w:p>
    <w:p>
      <w:pPr>
        <w:keepNext/>
        <w:spacing w:after="60" w:before="220"/>
      </w:pPr>
      <w:r>
        <w:rPr>
          <w:rFonts w:ascii="Georgia" w:cs="Georgia" w:eastAsia="Georgia" w:hAnsi="Georgia"/>
          <w:b/>
          <w:bCs/>
          <w:i w:val="false"/>
          <w:iCs w:val="false"/>
          <w:caps w:val="false"/>
          <w:color w:val="2C3440"/>
          <w:sz w:val="20"/>
          <w:szCs w:val="20"/>
        </w:rPr>
        <w:t xml:space="preserve">Understanding of your requirements</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You told us on February 26 that the current contractor has been arriving at 5:30 PM, while tenants on the second and third floors are still working, and that you have received four written complaints about it since November. You also flagged the restrooms specifically — the two cores serve roughly 190 occupants and they are where tenant complaints concentrate.</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The floors are in reasonable condition. The lobby concrete has not been burnished in about eighteen months and shows traffic lanes from the entrance to the elevators. The entrance glazing faces the parking lot and is the first thing every tenant and visitor sees.</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This proposal starts service at 6:30 PM, after your 6:00 PM lease-hours cutoff, cleans both restroom cores nightly with quarterly grout detail, and puts entrance glass on the nightly list rather than the weekly list.</w:t>
      </w:r>
    </w:p>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2. Scope of Work</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The following areas are included in this agreement. Areas not listed are excluded from the scope and are not serviced under this proposal.</w:t>
      </w:r>
    </w:p>
    <w:p>
      <w:pPr>
        <w:keepNext/>
        <w:spacing w:after="60" w:before="220"/>
      </w:pPr>
      <w:r>
        <w:rPr>
          <w:rFonts w:ascii="Georgia" w:cs="Georgia" w:eastAsia="Georgia" w:hAnsi="Georgia"/>
          <w:b/>
          <w:bCs/>
          <w:i w:val="false"/>
          <w:iCs w:val="false"/>
          <w:caps w:val="false"/>
          <w:color w:val="2C3440"/>
          <w:sz w:val="20"/>
          <w:szCs w:val="20"/>
        </w:rPr>
        <w:t xml:space="preserve">Areas included</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Open office and workstation areas — 11 tenant suites, 31,200 sq ft, 140 workstations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Private offices and conference rooms — including the second-floor conference suite, 2,300 sq ft</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Restrooms — two cores, 12 fixtures total, 1,150 sq ft</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Break room and kitchen areas — two break rooms, 1,300 sq ft</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Lobby, entryways, and reception — 3,100 sq ft, polished concrete, full-height entrance glazing</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Corridors, stairwells, and elevator cabs — 4,400 sq ft VCT, two enclosed stairwells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Additional areas: none</w:t>
      </w:r>
    </w:p>
    <w:p>
      <w:pPr>
        <w:keepNext/>
        <w:spacing w:after="60" w:before="220"/>
      </w:pPr>
      <w:r>
        <w:rPr>
          <w:rFonts w:ascii="Georgia" w:cs="Georgia" w:eastAsia="Georgia" w:hAnsi="Georgia"/>
          <w:b/>
          <w:bCs/>
          <w:i w:val="false"/>
          <w:iCs w:val="false"/>
          <w:caps w:val="false"/>
          <w:color w:val="2C3440"/>
          <w:sz w:val="20"/>
          <w:szCs w:val="20"/>
        </w:rPr>
        <w:t xml:space="preserve">Areas excluded</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Listing exclusions protects you. An area you never agreed to clean becomes an area you are accused of missing.</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Tenant-owned equipment, computers, and personal items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Interior of appliances unless listed in the frequency schedule</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Exterior windows above ground level</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Loading docks, parking areas, and exterior grounds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Server rooms, secure areas, and restricted access spaces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Biohazard, hazardous material, and post-construction cleanup</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Additional exclusions: storage, mechanical, and IT rooms (1,750 sq ft) — swept monthly on request, quoted separately; snow and ice removal; dumpster hauling, which remains under the owner’s existing contract</w:t>
      </w:r>
    </w:p>
    <w:p>
      <w:pPr>
        <w:spacing w:after="60"/>
      </w:pPr>
      <w:r>
        <w:rPr>
          <w:rFonts w:ascii="Calibri" w:cs="Calibri" w:eastAsia="Calibri" w:hAnsi="Calibri"/>
          <w:b w:val="false"/>
          <w:bCs w:val="false"/>
          <w:i w:val="false"/>
          <w:iCs w:val="false"/>
          <w:caps w:val="false"/>
          <w:color w:val="2C3440"/>
          <w:sz w:val="2"/>
          <w:szCs w:val="2"/>
        </w:rPr>
        <w:t xml:space="preserve"/>
      </w:r>
    </w:p>
    <w:p>
      <w:pPr>
        <w:spacing w:after="180" w:before="60" w:line="264"/>
        <w:ind w:left="280"/>
      </w:pPr>
      <w:r>
        <w:rPr>
          <w:rFonts w:ascii="Calibri" w:cs="Calibri" w:eastAsia="Calibri" w:hAnsi="Calibri"/>
          <w:b w:val="false"/>
          <w:bCs w:val="false"/>
          <w:i/>
          <w:iCs/>
          <w:caps w:val="false"/>
          <w:color w:val="6B7480"/>
          <w:sz w:val="17"/>
          <w:szCs w:val="17"/>
        </w:rPr>
        <w:t xml:space="preserve">The three added exclusions came directly off the walkthrough. Each one is something a property manager could reasonably have assumed was included.</w:t>
      </w:r>
    </w:p>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3. Frequency Schedule</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Mark the frequency for each task. This table is the operational definition of the contract. If a dispute arises about whether work was performed, this schedule is what both parties will be reading.</w:t>
      </w:r>
    </w:p>
    <w:p>
      <w:pPr>
        <w:spacing w:after="80"/>
      </w:pPr>
      <w:r>
        <w:rPr>
          <w:rFonts w:ascii="Calibri" w:cs="Calibri" w:eastAsia="Calibri" w:hAnsi="Calibri"/>
          <w:b w:val="false"/>
          <w:bCs w:val="false"/>
          <w:i w:val="false"/>
          <w:iCs w:val="false"/>
          <w:caps w:val="false"/>
          <w:color w:val="2C3440"/>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80"/>
        <w:gridCol w:w="1100"/>
        <w:gridCol w:w="1100"/>
        <w:gridCol w:w="1100"/>
        <w:gridCol w:w="1100"/>
        <w:gridCol w:w="1100"/>
        <w:gridCol w:w="1100"/>
      </w:tblGrid>
      <w:tr>
        <w:trPr>
          <w:cantSplit/>
          <w:tblHeader/>
        </w:trPr>
        <w:tc>
          <w:tcPr>
            <w:tcW w:type="dxa" w:w="348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Task</w:t>
            </w:r>
          </w:p>
        </w:tc>
        <w:tc>
          <w:tcPr>
            <w:tcW w:type="dxa" w:w="11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FFFFFF"/>
                <w:sz w:val="18"/>
                <w:szCs w:val="18"/>
              </w:rPr>
              <w:t xml:space="preserve">Daily</w:t>
            </w:r>
          </w:p>
        </w:tc>
        <w:tc>
          <w:tcPr>
            <w:tcW w:type="dxa" w:w="11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FFFFFF"/>
                <w:sz w:val="18"/>
                <w:szCs w:val="18"/>
              </w:rPr>
              <w:t xml:space="preserve">3× Wk</w:t>
            </w:r>
          </w:p>
        </w:tc>
        <w:tc>
          <w:tcPr>
            <w:tcW w:type="dxa" w:w="11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FFFFFF"/>
                <w:sz w:val="18"/>
                <w:szCs w:val="18"/>
              </w:rPr>
              <w:t xml:space="preserve">Weekly</w:t>
            </w:r>
          </w:p>
        </w:tc>
        <w:tc>
          <w:tcPr>
            <w:tcW w:type="dxa" w:w="11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FFFFFF"/>
                <w:sz w:val="18"/>
                <w:szCs w:val="18"/>
              </w:rPr>
              <w:t xml:space="preserve">Monthly</w:t>
            </w:r>
          </w:p>
        </w:tc>
        <w:tc>
          <w:tcPr>
            <w:tcW w:type="dxa" w:w="11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FFFFFF"/>
                <w:sz w:val="18"/>
                <w:szCs w:val="18"/>
              </w:rPr>
              <w:t xml:space="preserve">Quarterly</w:t>
            </w:r>
          </w:p>
        </w:tc>
        <w:tc>
          <w:tcPr>
            <w:tcW w:type="dxa" w:w="11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FFFFFF"/>
                <w:sz w:val="18"/>
                <w:szCs w:val="18"/>
              </w:rPr>
              <w:t xml:space="preserve">Annual</w:t>
            </w:r>
          </w:p>
        </w:tc>
      </w:tr>
      <w:tr>
        <w:trPr>
          <w:cantSplit/>
          <w:tblHeader w:val="false"/>
        </w:trPr>
        <w:tc>
          <w:tcPr>
            <w:tcW w:type="dxa" w:w="10080"/>
            <w:gridSpan w:val="7"/>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7"/>
                <w:szCs w:val="17"/>
              </w:rPr>
              <w:t xml:space="preserve">General Office &amp; Common Areas</w:t>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Empty waste and recycling, replace liners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Dust horizontal surfaces within reach</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Vacuum carpeted traffic areas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Spot clean carpet spills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Dust mop and damp mop hard floors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and sanitize high-touch points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interior glass and partition doors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Detail vacuum edges and under furniture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High dusting: vents, ledges, light fixtures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10080"/>
            <w:gridSpan w:val="7"/>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7"/>
                <w:szCs w:val="17"/>
              </w:rPr>
              <w:t xml:space="preserve">Restrooms</w:t>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and disinfect all fixtures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Restock consumables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and polish mirrors and dispensers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Damp mop and disinfect floors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Detail clean grout and partition tracks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Descale fixtures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10080"/>
            <w:gridSpan w:val="7"/>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7"/>
                <w:szCs w:val="17"/>
              </w:rPr>
              <w:t xml:space="preserve">Break Room / Kitchen</w:t>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Wipe and sanitize counters and tables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sink and fixtures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Empty waste, replace liners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exterior of appliances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Damp mop floor</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interior of refrigerator</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10080"/>
            <w:gridSpan w:val="7"/>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7"/>
                <w:szCs w:val="17"/>
              </w:rPr>
              <w:t xml:space="preserve">Entryways &amp; Lobby</w:t>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Clean entrance glass, both sides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Vacuum or clean walk-off mats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Police exterior entrance area</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Detail clean door frames and thresholds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10080"/>
            <w:gridSpan w:val="7"/>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7"/>
                <w:szCs w:val="17"/>
              </w:rPr>
              <w:t xml:space="preserve">Periodic Floor Care</w:t>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Machine scrub hard floors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Strip and refinish resilient floors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Carpet hot water extraction</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r>
      <w:tr>
        <w:trPr>
          <w:cantSplit/>
          <w:tblHeader w:val="false"/>
        </w:trPr>
        <w:tc>
          <w:tcPr>
            <w:tcW w:type="dxa" w:w="3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7"/>
                <w:szCs w:val="17"/>
              </w:rPr>
              <w:t xml:space="preserve">Burnish or buff finished floors</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w:t>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c>
          <w:tcPr>
            <w:tcW w:type="dxa" w:w="11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center"/>
            </w:pPr>
            <w:r>
              <w:rPr>
                <w:rFonts w:ascii="Calibri" w:cs="Calibri" w:eastAsia="Calibri" w:hAnsi="Calibri"/>
                <w:b/>
                <w:bCs/>
                <w:i w:val="false"/>
                <w:iCs w:val="false"/>
                <w:caps w:val="false"/>
                <w:color w:val="078037"/>
                <w:sz w:val="17"/>
                <w:szCs w:val="17"/>
              </w:rPr>
              <w:t xml:space="preserve"/>
            </w:r>
          </w:p>
        </w:tc>
      </w:tr>
    </w:tbl>
    <w:p>
      <w:pPr>
        <w:spacing w:after="140"/>
      </w:pPr>
      <w:r>
        <w:rPr>
          <w:rFonts w:ascii="Calibri" w:cs="Calibri" w:eastAsia="Calibri" w:hAnsi="Calibri"/>
          <w:b w:val="false"/>
          <w:bCs w:val="false"/>
          <w:i w:val="false"/>
          <w:iCs w:val="false"/>
          <w:caps w:val="false"/>
          <w:color w:val="2C3440"/>
          <w:sz w:val="2"/>
          <w:szCs w:val="2"/>
        </w:rPr>
        <w:t xml:space="preserve"/>
      </w:r>
    </w:p>
    <w:p>
      <w:pPr>
        <w:spacing w:after="180" w:before="60" w:line="264"/>
        <w:ind w:left="280"/>
      </w:pPr>
      <w:r>
        <w:rPr>
          <w:rFonts w:ascii="Calibri" w:cs="Calibri" w:eastAsia="Calibri" w:hAnsi="Calibri"/>
          <w:b w:val="false"/>
          <w:bCs w:val="false"/>
          <w:i/>
          <w:iCs/>
          <w:caps w:val="false"/>
          <w:color w:val="6B7480"/>
          <w:sz w:val="17"/>
          <w:szCs w:val="17"/>
        </w:rPr>
        <w:t xml:space="preserve">Every row on this schedule is marked. Rows that did not apply to this building were removed rather than left blank — an unmarked row invites a client to assume it is included.</w:t>
      </w:r>
    </w:p>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4. Pricing</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180"/>
        <w:gridCol w:w="2300"/>
        <w:gridCol w:w="1800"/>
        <w:gridCol w:w="1800"/>
      </w:tblGrid>
      <w:tr>
        <w:trPr>
          <w:cantSplit/>
          <w:tblHeader/>
        </w:trPr>
        <w:tc>
          <w:tcPr>
            <w:tcW w:type="dxa" w:w="418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Service</w:t>
            </w:r>
          </w:p>
        </w:tc>
        <w:tc>
          <w:tcPr>
            <w:tcW w:type="dxa" w:w="23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Frequency</w:t>
            </w:r>
          </w:p>
        </w:tc>
        <w:tc>
          <w:tcPr>
            <w:tcW w:type="dxa" w:w="18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FFFFFF"/>
                <w:sz w:val="18"/>
                <w:szCs w:val="18"/>
              </w:rPr>
              <w:t xml:space="preserve">Monthly</w:t>
            </w:r>
          </w:p>
        </w:tc>
        <w:tc>
          <w:tcPr>
            <w:tcW w:type="dxa" w:w="18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FFFFFF"/>
                <w:sz w:val="18"/>
                <w:szCs w:val="18"/>
              </w:rPr>
              <w:t xml:space="preserve">Annual</w:t>
            </w:r>
          </w:p>
        </w:tc>
      </w:tr>
      <w:tr>
        <w:trPr>
          <w:cantSplit/>
          <w:tblHeader w:val="false"/>
        </w:trPr>
        <w:tc>
          <w:tcPr>
            <w:tcW w:type="dxa" w:w="41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Recurring janitorial service</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5 nights per week</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$4,650</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$55,800</w:t>
            </w:r>
          </w:p>
        </w:tc>
      </w:tr>
      <w:tr>
        <w:trPr>
          <w:cantSplit/>
          <w:tblHeader w:val="false"/>
        </w:trPr>
        <w:tc>
          <w:tcPr>
            <w:tcW w:type="dxa" w:w="41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Restroom sanitation program</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Nightly + quarterly detail</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$725</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$8,700</w:t>
            </w:r>
          </w:p>
        </w:tc>
      </w:tr>
      <w:tr>
        <w:trPr>
          <w:cantSplit/>
          <w:tblHeader w:val="false"/>
        </w:trPr>
        <w:tc>
          <w:tcPr>
            <w:tcW w:type="dxa" w:w="41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Periodic floor care</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Monthly, quarterly, annual</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$400</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$4,800</w:t>
            </w:r>
          </w:p>
        </w:tc>
      </w:tr>
      <w:tr>
        <w:trPr>
          <w:cantSplit/>
          <w:tblHeader w:val="false"/>
        </w:trPr>
        <w:tc>
          <w:tcPr>
            <w:tcW w:type="dxa" w:w="41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Consumable supplies</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Client-supplied</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Not included</w:t>
            </w:r>
          </w:p>
        </w:tc>
        <w:tc>
          <w:tcPr>
            <w:tcW w:type="dxa" w:w="18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Not included</w:t>
            </w:r>
          </w:p>
        </w:tc>
      </w:tr>
      <w:tr>
        <w:trPr>
          <w:cantSplit/>
          <w:tblHeader w:val="false"/>
        </w:trPr>
        <w:tc>
          <w:tcPr>
            <w:tcW w:type="dxa" w:w="418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8"/>
                <w:szCs w:val="18"/>
              </w:rPr>
              <w:t xml:space="preserve">TOTAL</w:t>
            </w:r>
          </w:p>
        </w:tc>
        <w:tc>
          <w:tcPr>
            <w:tcW w:type="dxa" w:w="23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
            </w:r>
          </w:p>
        </w:tc>
        <w:tc>
          <w:tcPr>
            <w:tcW w:type="dxa" w:w="18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2C3440"/>
                <w:sz w:val="18"/>
                <w:szCs w:val="18"/>
              </w:rPr>
              <w:t xml:space="preserve">$5,775</w:t>
            </w:r>
          </w:p>
        </w:tc>
        <w:tc>
          <w:tcPr>
            <w:tcW w:type="dxa" w:w="18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2C3440"/>
                <w:sz w:val="18"/>
                <w:szCs w:val="18"/>
              </w:rPr>
              <w:t xml:space="preserve">$69,300</w:t>
            </w:r>
          </w:p>
        </w:tc>
      </w:tr>
    </w:tbl>
    <w:p>
      <w:pPr>
        <w:spacing w:after="8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6B7480"/>
          <w:sz w:val="18"/>
          <w:szCs w:val="18"/>
        </w:rPr>
        <w:t xml:space="preserve">Equivalent to $1.54 per square foot per year on 45,000 cleanable square feet. Based on 184 labor hours per month across a two-person crew. New Jersey sales tax on janitorial services is applied where required and is not included above.</w:t>
      </w:r>
    </w:p>
    <w:p>
      <w:pPr>
        <w:keepNext/>
        <w:spacing w:after="60" w:before="220"/>
      </w:pPr>
      <w:r>
        <w:rPr>
          <w:rFonts w:ascii="Georgia" w:cs="Georgia" w:eastAsia="Georgia" w:hAnsi="Georgia"/>
          <w:b/>
          <w:bCs/>
          <w:i w:val="false"/>
          <w:iCs w:val="false"/>
          <w:caps w:val="false"/>
          <w:color w:val="2C3440"/>
          <w:sz w:val="20"/>
          <w:szCs w:val="20"/>
        </w:rPr>
        <w:t xml:space="preserve">What is included in the price</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All labor, payroll taxes, workers compensation, and general liability insurance</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All cleaning equipment, chemicals, and supervision</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Supervisor site inspections at the frequency stated in Section 5</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Service reporting and documentation as described in Section 5</w:t>
      </w:r>
    </w:p>
    <w:p>
      <w:pPr>
        <w:keepNext/>
        <w:spacing w:after="60" w:before="220"/>
      </w:pPr>
      <w:r>
        <w:rPr>
          <w:rFonts w:ascii="Georgia" w:cs="Georgia" w:eastAsia="Georgia" w:hAnsi="Georgia"/>
          <w:b/>
          <w:bCs/>
          <w:i w:val="false"/>
          <w:iCs w:val="false"/>
          <w:caps w:val="false"/>
          <w:color w:val="2C3440"/>
          <w:sz w:val="20"/>
          <w:szCs w:val="20"/>
        </w:rPr>
        <w:t xml:space="preserve">What is billed separately</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Consumable supplies (paper, soap, liners) — client-supplied under this proposal. Northline stocks and rotates them nightly at no charge. If you prefer a single invoice, we will manage procurement at cost plus 12%.</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Emergency, after-hours, or special-event cleaning requested outside the schedule — $45.00 per hour, two-hour minimum</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Damage restoration, flood, or biohazard response — quoted per occurrence</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Additional square footage or scope added after contract start — priced per Section 7</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Day porter coverage, if elected — $30.00 per hour; four hours per day, Monday–Friday, is $2,600 per month</w:t>
      </w:r>
    </w:p>
    <w:p>
      <w:pPr>
        <w:keepNext/>
        <w:spacing w:after="60" w:before="220"/>
      </w:pPr>
      <w:r>
        <w:rPr>
          <w:rFonts w:ascii="Georgia" w:cs="Georgia" w:eastAsia="Georgia" w:hAnsi="Georgia"/>
          <w:b/>
          <w:bCs/>
          <w:i w:val="false"/>
          <w:iCs w:val="false"/>
          <w:caps w:val="false"/>
          <w:color w:val="2C3440"/>
          <w:sz w:val="20"/>
          <w:szCs w:val="20"/>
        </w:rPr>
        <w:t xml:space="preserve">Payment terms</w:t>
      </w:r>
    </w:p>
    <w:p>
      <w:pPr>
        <w:spacing w:after="90" w:line="264"/>
      </w:pPr>
      <w:r>
        <w:rPr>
          <w:rFonts w:ascii="Calibri" w:cs="Calibri" w:eastAsia="Calibri" w:hAnsi="Calibri"/>
          <w:b/>
          <w:bCs/>
          <w:i w:val="false"/>
          <w:iCs w:val="false"/>
          <w:caps w:val="false"/>
          <w:color w:val="2C3440"/>
          <w:sz w:val="19"/>
          <w:szCs w:val="19"/>
        </w:rPr>
        <w:t xml:space="preserve">Invoicing: </w:t>
      </w:r>
      <w:r>
        <w:rPr>
          <w:rFonts w:ascii="Calibri" w:cs="Calibri" w:eastAsia="Calibri" w:hAnsi="Calibri"/>
          <w:b w:val="false"/>
          <w:bCs w:val="false"/>
          <w:i w:val="false"/>
          <w:iCs w:val="false"/>
          <w:caps w:val="false"/>
          <w:color w:val="2C3440"/>
          <w:sz w:val="19"/>
          <w:szCs w:val="19"/>
        </w:rPr>
        <w:t xml:space="preserve">Monthly in advance, on the 1st business day</w:t>
      </w:r>
    </w:p>
    <w:p>
      <w:pPr>
        <w:spacing w:after="90" w:line="264"/>
      </w:pPr>
      <w:r>
        <w:rPr>
          <w:rFonts w:ascii="Calibri" w:cs="Calibri" w:eastAsia="Calibri" w:hAnsi="Calibri"/>
          <w:b/>
          <w:bCs/>
          <w:i w:val="false"/>
          <w:iCs w:val="false"/>
          <w:caps w:val="false"/>
          <w:color w:val="2C3440"/>
          <w:sz w:val="19"/>
          <w:szCs w:val="19"/>
        </w:rPr>
        <w:t xml:space="preserve">Payment due: </w:t>
      </w:r>
      <w:r>
        <w:rPr>
          <w:rFonts w:ascii="Calibri" w:cs="Calibri" w:eastAsia="Calibri" w:hAnsi="Calibri"/>
          <w:b w:val="false"/>
          <w:bCs w:val="false"/>
          <w:i w:val="false"/>
          <w:iCs w:val="false"/>
          <w:caps w:val="false"/>
          <w:color w:val="2C3440"/>
          <w:sz w:val="19"/>
          <w:szCs w:val="19"/>
        </w:rPr>
        <w:t xml:space="preserve">Net 30 from invoice date</w:t>
      </w:r>
    </w:p>
    <w:p>
      <w:pPr>
        <w:spacing w:after="90" w:line="264"/>
      </w:pPr>
      <w:r>
        <w:rPr>
          <w:rFonts w:ascii="Calibri" w:cs="Calibri" w:eastAsia="Calibri" w:hAnsi="Calibri"/>
          <w:b/>
          <w:bCs/>
          <w:i w:val="false"/>
          <w:iCs w:val="false"/>
          <w:caps w:val="false"/>
          <w:color w:val="2C3440"/>
          <w:sz w:val="19"/>
          <w:szCs w:val="19"/>
        </w:rPr>
        <w:t xml:space="preserve">Late payment: </w:t>
      </w:r>
      <w:r>
        <w:rPr>
          <w:rFonts w:ascii="Calibri" w:cs="Calibri" w:eastAsia="Calibri" w:hAnsi="Calibri"/>
          <w:b w:val="false"/>
          <w:bCs w:val="false"/>
          <w:i w:val="false"/>
          <w:iCs w:val="false"/>
          <w:caps w:val="false"/>
          <w:color w:val="2C3440"/>
          <w:sz w:val="19"/>
          <w:szCs w:val="19"/>
        </w:rPr>
        <w:t xml:space="preserve">1.5% per month on past-due balances</w:t>
      </w:r>
    </w:p>
    <w:p>
      <w:pPr>
        <w:spacing w:after="90" w:line="264"/>
      </w:pPr>
      <w:r>
        <w:rPr>
          <w:rFonts w:ascii="Calibri" w:cs="Calibri" w:eastAsia="Calibri" w:hAnsi="Calibri"/>
          <w:b/>
          <w:bCs/>
          <w:i w:val="false"/>
          <w:iCs w:val="false"/>
          <w:caps w:val="false"/>
          <w:color w:val="2C3440"/>
          <w:sz w:val="19"/>
          <w:szCs w:val="19"/>
        </w:rPr>
        <w:t xml:space="preserve">Annual adjustment: </w:t>
      </w:r>
      <w:r>
        <w:rPr>
          <w:rFonts w:ascii="Calibri" w:cs="Calibri" w:eastAsia="Calibri" w:hAnsi="Calibri"/>
          <w:b w:val="false"/>
          <w:bCs w:val="false"/>
          <w:i w:val="false"/>
          <w:iCs w:val="false"/>
          <w:caps w:val="false"/>
          <w:color w:val="2C3440"/>
          <w:sz w:val="19"/>
          <w:szCs w:val="19"/>
        </w:rPr>
        <w:t xml:space="preserve">On each anniversary, adjusted by the greater of the trailing twelve-month change in CPI-U published by the Bureau of Labor Statistics, or the increase in the applicable New Jersey minimum wage, on 60 days written notice. Any adjustment beyond that ceiling requires your written consent.</w:t>
      </w:r>
    </w:p>
    <w:p>
      <w:pPr>
        <w:spacing w:after="180" w:before="60" w:line="264"/>
        <w:ind w:left="280"/>
      </w:pPr>
      <w:r>
        <w:rPr>
          <w:rFonts w:ascii="Calibri" w:cs="Calibri" w:eastAsia="Calibri" w:hAnsi="Calibri"/>
          <w:b w:val="false"/>
          <w:bCs w:val="false"/>
          <w:i/>
          <w:iCs/>
          <w:caps w:val="false"/>
          <w:color w:val="6B7480"/>
          <w:sz w:val="17"/>
          <w:szCs w:val="17"/>
        </w:rPr>
        <w:t xml:space="preserve">This is a mechanism, not a promise. "Pricing reviewed annually" gives you nothing — it is an invitation to a negotiation you will lose after a year of good service.</w:t>
      </w:r>
    </w:p>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5. Service Verification and Reporting</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This section is what separates a professional proposal from a price quote. Most cleaning contracts are not lost over poor work. They are lost because the contractor could not prove the work was done.</w:t>
      </w:r>
    </w:p>
    <w:p>
      <w:pPr>
        <w:keepNext/>
        <w:spacing w:after="60" w:before="220"/>
      </w:pPr>
      <w:r>
        <w:rPr>
          <w:rFonts w:ascii="Georgia" w:cs="Georgia" w:eastAsia="Georgia" w:hAnsi="Georgia"/>
          <w:b/>
          <w:bCs/>
          <w:i w:val="false"/>
          <w:iCs w:val="false"/>
          <w:caps w:val="false"/>
          <w:color w:val="2C3440"/>
          <w:sz w:val="20"/>
          <w:szCs w:val="20"/>
        </w:rPr>
        <w:t xml:space="preserve">How service is documented</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Every shift is logged with a GPS-verified check-in and check-out timestamp</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Photo documentation is captured on site and attached to the shift record — restroom cores, entrance glass, and all periodic floor care</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 service report is delivered to the client contact after each completed shift</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Shift history is retained and searchable for the full contract term</w:t>
      </w:r>
    </w:p>
    <w:p>
      <w:pPr>
        <w:keepNext/>
        <w:spacing w:after="60" w:before="220"/>
      </w:pPr>
      <w:r>
        <w:rPr>
          <w:rFonts w:ascii="Georgia" w:cs="Georgia" w:eastAsia="Georgia" w:hAnsi="Georgia"/>
          <w:b/>
          <w:bCs/>
          <w:i w:val="false"/>
          <w:iCs w:val="false"/>
          <w:caps w:val="false"/>
          <w:color w:val="2C3440"/>
          <w:sz w:val="20"/>
          <w:szCs w:val="20"/>
        </w:rPr>
        <w:t xml:space="preserve">Quality inspections</w:t>
      </w:r>
    </w:p>
    <w:p>
      <w:pPr>
        <w:spacing w:after="90" w:line="264"/>
      </w:pPr>
      <w:r>
        <w:rPr>
          <w:rFonts w:ascii="Calibri" w:cs="Calibri" w:eastAsia="Calibri" w:hAnsi="Calibri"/>
          <w:b/>
          <w:bCs/>
          <w:i w:val="false"/>
          <w:iCs w:val="false"/>
          <w:caps w:val="false"/>
          <w:color w:val="2C3440"/>
          <w:sz w:val="19"/>
          <w:szCs w:val="19"/>
        </w:rPr>
        <w:t xml:space="preserve">Supervisor inspection frequency: </w:t>
      </w:r>
      <w:r>
        <w:rPr>
          <w:rFonts w:ascii="Calibri" w:cs="Calibri" w:eastAsia="Calibri" w:hAnsi="Calibri"/>
          <w:b w:val="false"/>
          <w:bCs w:val="false"/>
          <w:i w:val="false"/>
          <w:iCs w:val="false"/>
          <w:caps w:val="false"/>
          <w:color w:val="2C3440"/>
          <w:sz w:val="19"/>
          <w:szCs w:val="19"/>
        </w:rPr>
        <w:t xml:space="preserve">Twice weekly, unannounced, against a written 40-point checklist</w:t>
      </w:r>
    </w:p>
    <w:p>
      <w:pPr>
        <w:spacing w:after="90" w:line="264"/>
      </w:pPr>
      <w:r>
        <w:rPr>
          <w:rFonts w:ascii="Calibri" w:cs="Calibri" w:eastAsia="Calibri" w:hAnsi="Calibri"/>
          <w:b/>
          <w:bCs/>
          <w:i w:val="false"/>
          <w:iCs w:val="false"/>
          <w:caps w:val="false"/>
          <w:color w:val="2C3440"/>
          <w:sz w:val="19"/>
          <w:szCs w:val="19"/>
        </w:rPr>
        <w:t xml:space="preserve">Joint client walkthrough: </w:t>
      </w:r>
      <w:r>
        <w:rPr>
          <w:rFonts w:ascii="Calibri" w:cs="Calibri" w:eastAsia="Calibri" w:hAnsi="Calibri"/>
          <w:b w:val="false"/>
          <w:bCs w:val="false"/>
          <w:i w:val="false"/>
          <w:iCs w:val="false"/>
          <w:caps w:val="false"/>
          <w:color w:val="2C3440"/>
          <w:sz w:val="19"/>
          <w:szCs w:val="19"/>
        </w:rPr>
        <w:t xml:space="preserve">Monthly for the first quarter, then quarterly</w:t>
      </w:r>
    </w:p>
    <w:p>
      <w:pPr>
        <w:spacing w:after="90" w:line="264"/>
      </w:pPr>
      <w:r>
        <w:rPr>
          <w:rFonts w:ascii="Calibri" w:cs="Calibri" w:eastAsia="Calibri" w:hAnsi="Calibri"/>
          <w:b/>
          <w:bCs/>
          <w:i w:val="false"/>
          <w:iCs w:val="false"/>
          <w:caps w:val="false"/>
          <w:color w:val="2C3440"/>
          <w:sz w:val="19"/>
          <w:szCs w:val="19"/>
        </w:rPr>
        <w:t xml:space="preserve">Inspection scoring: </w:t>
      </w:r>
      <w:r>
        <w:rPr>
          <w:rFonts w:ascii="Calibri" w:cs="Calibri" w:eastAsia="Calibri" w:hAnsi="Calibri"/>
          <w:b w:val="false"/>
          <w:bCs w:val="false"/>
          <w:i w:val="false"/>
          <w:iCs w:val="false"/>
          <w:caps w:val="false"/>
          <w:color w:val="2C3440"/>
          <w:sz w:val="19"/>
          <w:szCs w:val="19"/>
        </w:rPr>
        <w:t xml:space="preserve">Scored checklist with photo evidence on any flagged item; scores delivered with the monthly invoice</w:t>
      </w:r>
    </w:p>
    <w:p>
      <w:pPr>
        <w:keepNext/>
        <w:spacing w:after="60" w:before="220"/>
      </w:pPr>
      <w:r>
        <w:rPr>
          <w:rFonts w:ascii="Georgia" w:cs="Georgia" w:eastAsia="Georgia" w:hAnsi="Georgia"/>
          <w:b/>
          <w:bCs/>
          <w:i w:val="false"/>
          <w:iCs w:val="false"/>
          <w:caps w:val="false"/>
          <w:color w:val="2C3440"/>
          <w:sz w:val="20"/>
          <w:szCs w:val="20"/>
        </w:rPr>
        <w:t xml:space="preserve">Issue resolution</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Deficiencies reported by the client are acknowledged within one business day and corrected on the next scheduled service visit, or sooner where the condition affects safety or sanitation. Each reported issue is logged with a resolution timestamp and photo confirmation.</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Any deficiency reported before 3:00 PM is corrected that same night at no charge. Where the same item is flagged three times in thirty days, we deliver a written corrective action plan within five business days.</w:t>
      </w:r>
    </w:p>
    <w:p>
      <w:pPr>
        <w:spacing w:after="90" w:line="264"/>
      </w:pPr>
      <w:r>
        <w:rPr>
          <w:rFonts w:ascii="Calibri" w:cs="Calibri" w:eastAsia="Calibri" w:hAnsi="Calibri"/>
          <w:b/>
          <w:bCs/>
          <w:i w:val="false"/>
          <w:iCs w:val="false"/>
          <w:caps w:val="false"/>
          <w:color w:val="2C3440"/>
          <w:sz w:val="19"/>
          <w:szCs w:val="19"/>
        </w:rPr>
        <w:t xml:space="preserve">Primary service contact: </w:t>
      </w:r>
      <w:r>
        <w:rPr>
          <w:rFonts w:ascii="Calibri" w:cs="Calibri" w:eastAsia="Calibri" w:hAnsi="Calibri"/>
          <w:b w:val="false"/>
          <w:bCs w:val="false"/>
          <w:i w:val="false"/>
          <w:iCs w:val="false"/>
          <w:caps w:val="false"/>
          <w:color w:val="2C3440"/>
          <w:sz w:val="19"/>
          <w:szCs w:val="19"/>
        </w:rPr>
        <w:t xml:space="preserve">Marcus Hale · (973) 555–0148 · mhale@example.com</w:t>
      </w:r>
    </w:p>
    <w:p>
      <w:pPr>
        <w:spacing w:after="90" w:line="264"/>
      </w:pPr>
      <w:r>
        <w:rPr>
          <w:rFonts w:ascii="Calibri" w:cs="Calibri" w:eastAsia="Calibri" w:hAnsi="Calibri"/>
          <w:b/>
          <w:bCs/>
          <w:i w:val="false"/>
          <w:iCs w:val="false"/>
          <w:caps w:val="false"/>
          <w:color w:val="2C3440"/>
          <w:sz w:val="19"/>
          <w:szCs w:val="19"/>
        </w:rPr>
        <w:t xml:space="preserve">After-hours escalation: </w:t>
      </w:r>
      <w:r>
        <w:rPr>
          <w:rFonts w:ascii="Calibri" w:cs="Calibri" w:eastAsia="Calibri" w:hAnsi="Calibri"/>
          <w:b w:val="false"/>
          <w:bCs w:val="false"/>
          <w:i w:val="false"/>
          <w:iCs w:val="false"/>
          <w:caps w:val="false"/>
          <w:color w:val="2C3440"/>
          <w:sz w:val="19"/>
          <w:szCs w:val="19"/>
        </w:rPr>
        <w:t xml:space="preserve">(973) 555–0199, 24/7</w:t>
      </w:r>
    </w:p>
    <w:p>
      <w:pPr>
        <w:spacing w:after="60"/>
      </w:pPr>
      <w:r>
        <w:rPr>
          <w:rFonts w:ascii="Calibri" w:cs="Calibri" w:eastAsia="Calibri" w:hAnsi="Calibri"/>
          <w:b w:val="false"/>
          <w:bCs w:val="false"/>
          <w:i w:val="false"/>
          <w:iCs w:val="false"/>
          <w:caps w:val="false"/>
          <w:color w:val="2C3440"/>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2F5F3" w:sz="0"/>
              <w:left w:val="single" w:color="078037" w:sz="18"/>
              <w:bottom w:val="none" w:color="F2F5F3" w:sz="0"/>
              <w:right w:val="none" w:color="F2F5F3" w:sz="0"/>
            </w:tcBorders>
            <w:shd w:fill="F2F5F3" w:color="auto" w:val="clear"/>
            <w:tcMar>
              <w:top w:type="dxa" w:w="200"/>
              <w:left w:type="dxa" w:w="220"/>
              <w:bottom w:type="dxa" w:w="200"/>
              <w:right w:type="dxa" w:w="220"/>
            </w:tcMar>
          </w:tcPr>
          <w:p>
            <w:pPr>
              <w:spacing w:after="80"/>
            </w:pPr>
            <w:r>
              <w:rPr>
                <w:rFonts w:ascii="Calibri" w:cs="Calibri" w:eastAsia="Calibri" w:hAnsi="Calibri"/>
                <w:b/>
                <w:bCs/>
                <w:i w:val="false"/>
                <w:iCs w:val="false"/>
                <w:caps/>
                <w:color w:val="078037"/>
                <w:spacing w:val="25"/>
                <w:sz w:val="17"/>
                <w:szCs w:val="17"/>
              </w:rPr>
              <w:t xml:space="preserve">Ask the other bidders for this</w:t>
            </w:r>
          </w:p>
          <w:p>
            <w:pPr>
              <w:spacing w:after="0" w:line="264"/>
            </w:pPr>
            <w:r>
              <w:rPr>
                <w:rFonts w:ascii="Calibri" w:cs="Calibri" w:eastAsia="Calibri" w:hAnsi="Calibri"/>
                <w:b w:val="false"/>
                <w:bCs w:val="false"/>
                <w:i w:val="false"/>
                <w:iCs w:val="false"/>
                <w:caps w:val="false"/>
                <w:color w:val="2C3440"/>
                <w:sz w:val="18"/>
                <w:szCs w:val="18"/>
              </w:rPr>
              <w:t xml:space="preserve">Timestamped attendance records, photo verification on periodic work, and read-only portal access for you. Request all three in writing from every contractor you are considering. Most cannot produce them.</w:t>
            </w:r>
          </w:p>
        </w:tc>
      </w:tr>
    </w:tbl>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6. Insurance and Compliance</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Certificates of insurance are provided prior to the service start date and are maintained for the term of the agreement.</w:t>
      </w:r>
    </w:p>
    <w:p>
      <w:pPr>
        <w:spacing w:after="60"/>
      </w:pPr>
      <w:r>
        <w:rPr>
          <w:rFonts w:ascii="Calibri" w:cs="Calibri" w:eastAsia="Calibri" w:hAnsi="Calibri"/>
          <w:b w:val="false"/>
          <w:bCs w:val="false"/>
          <w:i w:val="false"/>
          <w:iCs w:val="false"/>
          <w:caps w:val="false"/>
          <w:color w:val="2C3440"/>
          <w:sz w:val="2"/>
          <w:szCs w:val="2"/>
        </w:rPr>
        <w:t xml:space="preserve"/>
      </w:r>
    </w:p>
    <w:p>
      <w:pPr>
        <w:spacing w:after="90" w:line="264"/>
      </w:pPr>
      <w:r>
        <w:rPr>
          <w:rFonts w:ascii="Calibri" w:cs="Calibri" w:eastAsia="Calibri" w:hAnsi="Calibri"/>
          <w:b/>
          <w:bCs/>
          <w:i w:val="false"/>
          <w:iCs w:val="false"/>
          <w:caps w:val="false"/>
          <w:color w:val="2C3440"/>
          <w:sz w:val="19"/>
          <w:szCs w:val="19"/>
        </w:rPr>
        <w:t xml:space="preserve">General liability: </w:t>
      </w:r>
      <w:r>
        <w:rPr>
          <w:rFonts w:ascii="Calibri" w:cs="Calibri" w:eastAsia="Calibri" w:hAnsi="Calibri"/>
          <w:b w:val="false"/>
          <w:bCs w:val="false"/>
          <w:i w:val="false"/>
          <w:iCs w:val="false"/>
          <w:caps w:val="false"/>
          <w:color w:val="2C3440"/>
          <w:sz w:val="19"/>
          <w:szCs w:val="19"/>
        </w:rPr>
        <w:t xml:space="preserve">$2,000,000 per occurrence / $4,000,000 aggregate</w:t>
      </w:r>
    </w:p>
    <w:p>
      <w:pPr>
        <w:spacing w:after="90" w:line="264"/>
      </w:pPr>
      <w:r>
        <w:rPr>
          <w:rFonts w:ascii="Calibri" w:cs="Calibri" w:eastAsia="Calibri" w:hAnsi="Calibri"/>
          <w:b/>
          <w:bCs/>
          <w:i w:val="false"/>
          <w:iCs w:val="false"/>
          <w:caps w:val="false"/>
          <w:color w:val="2C3440"/>
          <w:sz w:val="19"/>
          <w:szCs w:val="19"/>
        </w:rPr>
        <w:t xml:space="preserve">Workers compensation: </w:t>
      </w:r>
      <w:r>
        <w:rPr>
          <w:rFonts w:ascii="Calibri" w:cs="Calibri" w:eastAsia="Calibri" w:hAnsi="Calibri"/>
          <w:b w:val="false"/>
          <w:bCs w:val="false"/>
          <w:i w:val="false"/>
          <w:iCs w:val="false"/>
          <w:caps w:val="false"/>
          <w:color w:val="2C3440"/>
          <w:sz w:val="19"/>
          <w:szCs w:val="19"/>
        </w:rPr>
        <w:t xml:space="preserve">Statutory — New Jersey; employer’s liability $1,000,000</w:t>
      </w:r>
    </w:p>
    <w:p>
      <w:pPr>
        <w:spacing w:after="90" w:line="264"/>
      </w:pPr>
      <w:r>
        <w:rPr>
          <w:rFonts w:ascii="Calibri" w:cs="Calibri" w:eastAsia="Calibri" w:hAnsi="Calibri"/>
          <w:b/>
          <w:bCs/>
          <w:i w:val="false"/>
          <w:iCs w:val="false"/>
          <w:caps w:val="false"/>
          <w:color w:val="2C3440"/>
          <w:sz w:val="19"/>
          <w:szCs w:val="19"/>
        </w:rPr>
        <w:t xml:space="preserve">Commercial auto: </w:t>
      </w:r>
      <w:r>
        <w:rPr>
          <w:rFonts w:ascii="Calibri" w:cs="Calibri" w:eastAsia="Calibri" w:hAnsi="Calibri"/>
          <w:b w:val="false"/>
          <w:bCs w:val="false"/>
          <w:i w:val="false"/>
          <w:iCs w:val="false"/>
          <w:caps w:val="false"/>
          <w:color w:val="2C3440"/>
          <w:sz w:val="19"/>
          <w:szCs w:val="19"/>
        </w:rPr>
        <w:t xml:space="preserve">$1,000,000 combined single limit</w:t>
      </w:r>
    </w:p>
    <w:p>
      <w:pPr>
        <w:spacing w:after="90" w:line="264"/>
      </w:pPr>
      <w:r>
        <w:rPr>
          <w:rFonts w:ascii="Calibri" w:cs="Calibri" w:eastAsia="Calibri" w:hAnsi="Calibri"/>
          <w:b/>
          <w:bCs/>
          <w:i w:val="false"/>
          <w:iCs w:val="false"/>
          <w:caps w:val="false"/>
          <w:color w:val="2C3440"/>
          <w:sz w:val="19"/>
          <w:szCs w:val="19"/>
        </w:rPr>
        <w:t xml:space="preserve">Janitorial bond: </w:t>
      </w:r>
      <w:r>
        <w:rPr>
          <w:rFonts w:ascii="Calibri" w:cs="Calibri" w:eastAsia="Calibri" w:hAnsi="Calibri"/>
          <w:b w:val="false"/>
          <w:bCs w:val="false"/>
          <w:i w:val="false"/>
          <w:iCs w:val="false"/>
          <w:caps w:val="false"/>
          <w:color w:val="2C3440"/>
          <w:sz w:val="19"/>
          <w:szCs w:val="19"/>
        </w:rPr>
        <w:t xml:space="preserve">$50,000</w:t>
      </w:r>
    </w:p>
    <w:p>
      <w:pPr>
        <w:spacing w:after="80"/>
      </w:pPr>
      <w:r>
        <w:rPr>
          <w:rFonts w:ascii="Calibri" w:cs="Calibri" w:eastAsia="Calibri" w:hAnsi="Calibri"/>
          <w:b w:val="false"/>
          <w:bCs w:val="false"/>
          <w:i w:val="false"/>
          <w:iCs w:val="false"/>
          <w:caps w:val="false"/>
          <w:color w:val="2C3440"/>
          <w:sz w:val="2"/>
          <w:szCs w:val="2"/>
        </w:rPr>
        <w:t xml:space="preserve"/>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All personnel are screened prior to assignment in accordance with applicable law — criminal background check and E-Verify before first shift</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All personnel are employees or documented subcontractors; no undocumented labor is used</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Safety data sheets for all chemicals used on site are available on request and maintained in the janitorial closet</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Client will be named as additional insured on request</w:t>
      </w:r>
    </w:p>
    <w:p>
      <w:pPr>
        <w:spacing w:after="60"/>
      </w:pPr>
      <w:r>
        <w:rPr>
          <w:rFonts w:ascii="Calibri" w:cs="Calibri" w:eastAsia="Calibri" w:hAnsi="Calibri"/>
          <w:b w:val="false"/>
          <w:bCs w:val="false"/>
          <w:i w:val="false"/>
          <w:iCs w:val="false"/>
          <w:caps w:val="false"/>
          <w:color w:val="2C3440"/>
          <w:sz w:val="2"/>
          <w:szCs w:val="2"/>
        </w:rPr>
        <w:t xml:space="preserve"/>
      </w:r>
    </w:p>
    <w:p>
      <w:pPr>
        <w:spacing w:after="180" w:before="60" w:line="264"/>
        <w:ind w:left="280"/>
      </w:pPr>
      <w:r>
        <w:rPr>
          <w:rFonts w:ascii="Calibri" w:cs="Calibri" w:eastAsia="Calibri" w:hAnsi="Calibri"/>
          <w:b w:val="false"/>
          <w:bCs w:val="false"/>
          <w:i/>
          <w:iCs/>
          <w:caps w:val="false"/>
          <w:color w:val="6B7480"/>
          <w:sz w:val="17"/>
          <w:szCs w:val="17"/>
        </w:rPr>
        <w:t xml:space="preserve">Match these limits to what the client requires, not to what you currently carry. If you need to raise them to win the contract, the premium difference belongs in the price.</w:t>
      </w:r>
    </w:p>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7. Term and Conditions</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spacing w:after="60" w:before="220"/>
      </w:pPr>
      <w:r>
        <w:rPr>
          <w:rFonts w:ascii="Georgia" w:cs="Georgia" w:eastAsia="Georgia" w:hAnsi="Georgia"/>
          <w:b/>
          <w:bCs/>
          <w:i w:val="false"/>
          <w:iCs w:val="false"/>
          <w:caps w:val="false"/>
          <w:color w:val="2C3440"/>
          <w:sz w:val="20"/>
          <w:szCs w:val="20"/>
        </w:rPr>
        <w:t xml:space="preserve">Term</w:t>
      </w:r>
    </w:p>
    <w:p>
      <w:pPr>
        <w:spacing w:after="90" w:line="264"/>
      </w:pPr>
      <w:r>
        <w:rPr>
          <w:rFonts w:ascii="Calibri" w:cs="Calibri" w:eastAsia="Calibri" w:hAnsi="Calibri"/>
          <w:b/>
          <w:bCs/>
          <w:i w:val="false"/>
          <w:iCs w:val="false"/>
          <w:caps w:val="false"/>
          <w:color w:val="2C3440"/>
          <w:sz w:val="19"/>
          <w:szCs w:val="19"/>
        </w:rPr>
        <w:t xml:space="preserve">Initial term: </w:t>
      </w:r>
      <w:r>
        <w:rPr>
          <w:rFonts w:ascii="Calibri" w:cs="Calibri" w:eastAsia="Calibri" w:hAnsi="Calibri"/>
          <w:b w:val="false"/>
          <w:bCs w:val="false"/>
          <w:i w:val="false"/>
          <w:iCs w:val="false"/>
          <w:caps w:val="false"/>
          <w:color w:val="2C3440"/>
          <w:sz w:val="19"/>
          <w:szCs w:val="19"/>
        </w:rPr>
        <w:t xml:space="preserve">12 months from the service start date</w:t>
      </w:r>
    </w:p>
    <w:p>
      <w:pPr>
        <w:spacing w:after="90" w:line="264"/>
      </w:pPr>
      <w:r>
        <w:rPr>
          <w:rFonts w:ascii="Calibri" w:cs="Calibri" w:eastAsia="Calibri" w:hAnsi="Calibri"/>
          <w:b/>
          <w:bCs/>
          <w:i w:val="false"/>
          <w:iCs w:val="false"/>
          <w:caps w:val="false"/>
          <w:color w:val="2C3440"/>
          <w:sz w:val="19"/>
          <w:szCs w:val="19"/>
        </w:rPr>
        <w:t xml:space="preserve">Renewal: </w:t>
      </w:r>
      <w:r>
        <w:rPr>
          <w:rFonts w:ascii="Calibri" w:cs="Calibri" w:eastAsia="Calibri" w:hAnsi="Calibri"/>
          <w:b w:val="false"/>
          <w:bCs w:val="false"/>
          <w:i w:val="false"/>
          <w:iCs w:val="false"/>
          <w:caps w:val="false"/>
          <w:color w:val="2C3440"/>
          <w:sz w:val="19"/>
          <w:szCs w:val="19"/>
        </w:rPr>
        <w:t xml:space="preserve">Automatically renews for successive 12-month terms unless either party gives written notice of non-renewal at least 60 days before the end of the then-current term</w:t>
      </w:r>
    </w:p>
    <w:p>
      <w:pPr>
        <w:keepNext/>
        <w:spacing w:after="60" w:before="220"/>
      </w:pPr>
      <w:r>
        <w:rPr>
          <w:rFonts w:ascii="Georgia" w:cs="Georgia" w:eastAsia="Georgia" w:hAnsi="Georgia"/>
          <w:b/>
          <w:bCs/>
          <w:i w:val="false"/>
          <w:iCs w:val="false"/>
          <w:caps w:val="false"/>
          <w:color w:val="2C3440"/>
          <w:sz w:val="20"/>
          <w:szCs w:val="20"/>
        </w:rPr>
        <w:t xml:space="preserve">Termination</w:t>
      </w:r>
    </w:p>
    <w:p>
      <w:pPr>
        <w:spacing w:after="90" w:line="264"/>
      </w:pPr>
      <w:r>
        <w:rPr>
          <w:rFonts w:ascii="Calibri" w:cs="Calibri" w:eastAsia="Calibri" w:hAnsi="Calibri"/>
          <w:b/>
          <w:bCs/>
          <w:i w:val="false"/>
          <w:iCs w:val="false"/>
          <w:caps w:val="false"/>
          <w:color w:val="2C3440"/>
          <w:sz w:val="19"/>
          <w:szCs w:val="19"/>
        </w:rPr>
        <w:t xml:space="preserve">Notice required: </w:t>
      </w:r>
      <w:r>
        <w:rPr>
          <w:rFonts w:ascii="Calibri" w:cs="Calibri" w:eastAsia="Calibri" w:hAnsi="Calibri"/>
          <w:b w:val="false"/>
          <w:bCs w:val="false"/>
          <w:i w:val="false"/>
          <w:iCs w:val="false"/>
          <w:caps w:val="false"/>
          <w:color w:val="2C3440"/>
          <w:sz w:val="19"/>
          <w:szCs w:val="19"/>
        </w:rPr>
        <w:t xml:space="preserve">30 days written notice by either party, after the first 90 days of service</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Where a deficiency is cited as grounds for termination, the service provider is given written notice describing the deficiency and a cure period of not fewer than fifteen days to correct it.</w:t>
      </w:r>
    </w:p>
    <w:p>
      <w:pPr>
        <w:spacing w:after="180" w:before="60" w:line="264"/>
        <w:ind w:left="280"/>
      </w:pPr>
      <w:r>
        <w:rPr>
          <w:rFonts w:ascii="Calibri" w:cs="Calibri" w:eastAsia="Calibri" w:hAnsi="Calibri"/>
          <w:b w:val="false"/>
          <w:bCs w:val="false"/>
          <w:i/>
          <w:iCs/>
          <w:caps w:val="false"/>
          <w:color w:val="6B7480"/>
          <w:sz w:val="17"/>
          <w:szCs w:val="17"/>
        </w:rPr>
        <w:t xml:space="preserve">The 90-day floor is what recovers mobilization cost. Thirty days notice is normal and refusing it looks defensive — asking for a floor underneath it does not.</w:t>
      </w:r>
    </w:p>
    <w:p>
      <w:pPr>
        <w:keepNext/>
        <w:spacing w:after="60" w:before="220"/>
      </w:pPr>
      <w:r>
        <w:rPr>
          <w:rFonts w:ascii="Georgia" w:cs="Georgia" w:eastAsia="Georgia" w:hAnsi="Georgia"/>
          <w:b/>
          <w:bCs/>
          <w:i w:val="false"/>
          <w:iCs w:val="false"/>
          <w:caps w:val="false"/>
          <w:color w:val="2C3440"/>
          <w:sz w:val="20"/>
          <w:szCs w:val="20"/>
        </w:rPr>
        <w:t xml:space="preserve">Access and client responsibilities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Client provides building access, keys or credentials, and any required security clearance</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Client provides access to hot and cold water and to electrical outlets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Client provides a secured area for storage of equipment and supplies — one lockable janitorial closet with a floor sink per floor</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Client notifies the service provider of schedule changes, holidays, and closures with reasonable advance notice</w:t>
      </w:r>
    </w:p>
    <w:p>
      <w:pPr>
        <w:spacing w:after="6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19"/>
          <w:szCs w:val="19"/>
        </w:rPr>
        <w:t xml:space="preserve">Service is not performed on New Year’s Day, Memorial Day, Independence Day, Labor Day, Thanksgiving Day, or Christmas Day. Holiday nights are not credited; the annual price is calculated net of them.</w:t>
      </w:r>
    </w:p>
    <w:p>
      <w:pPr>
        <w:keepNext/>
        <w:spacing w:after="60" w:before="220"/>
      </w:pPr>
      <w:r>
        <w:rPr>
          <w:rFonts w:ascii="Georgia" w:cs="Georgia" w:eastAsia="Georgia" w:hAnsi="Georgia"/>
          <w:b/>
          <w:bCs/>
          <w:i w:val="false"/>
          <w:iCs w:val="false"/>
          <w:caps w:val="false"/>
          <w:color w:val="2C3440"/>
          <w:sz w:val="20"/>
          <w:szCs w:val="20"/>
        </w:rPr>
        <w:t xml:space="preserve">Non-solicitation</w:t>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For the term of this agreement and for twelve months following its termination, the client agrees not to directly employ or contract with any personnel assigned to this property by the service provider, except by written agreement between the parties.</w:t>
      </w:r>
    </w:p>
    <w:p>
      <w:pPr>
        <w:keepNext/>
        <w:spacing w:after="60" w:before="220"/>
      </w:pPr>
      <w:r>
        <w:rPr>
          <w:rFonts w:ascii="Georgia" w:cs="Georgia" w:eastAsia="Georgia" w:hAnsi="Georgia"/>
          <w:b/>
          <w:bCs/>
          <w:i w:val="false"/>
          <w:iCs w:val="false"/>
          <w:caps w:val="false"/>
          <w:color w:val="2C3440"/>
          <w:sz w:val="20"/>
          <w:szCs w:val="20"/>
        </w:rPr>
        <w:t xml:space="preserve">Assumptions</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Pricing is based on the square footage, scope, and frequency stated in this proposal</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Pricing assumes the building condition observed during the site walkthrough on February 26, 2026</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Material changes to occupancy, square footage, scope, or access will be repriced</w:t>
      </w:r>
    </w:p>
    <w:p>
      <w:pPr>
        <w:pStyle w:val="ListParagraph"/>
        <w:numPr>
          <w:ilvl w:val="0"/>
          <w:numId w:val="2"/>
        </w:numPr>
        <w:spacing w:after="70" w:line="264"/>
      </w:pPr>
      <w:r>
        <w:rPr>
          <w:rFonts w:ascii="Calibri" w:cs="Calibri" w:eastAsia="Calibri" w:hAnsi="Calibri"/>
          <w:b w:val="false"/>
          <w:bCs w:val="false"/>
          <w:i w:val="false"/>
          <w:iCs w:val="false"/>
          <w:caps w:val="false"/>
          <w:color w:val="2C3440"/>
          <w:sz w:val="20"/>
          <w:szCs w:val="20"/>
        </w:rPr>
        <w:t xml:space="preserve">Pricing assumes uninterrupted access during the stated service window</w:t>
      </w:r>
    </w:p>
    <w:p>
      <w:pPr>
        <w:spacing w:after="60"/>
      </w:pPr>
      <w:r>
        <w:rPr>
          <w:rFonts w:ascii="Calibri" w:cs="Calibri" w:eastAsia="Calibri" w:hAnsi="Calibri"/>
          <w:b w:val="false"/>
          <w:bCs w:val="false"/>
          <w:i w:val="false"/>
          <w:iCs w:val="false"/>
          <w:caps w:val="false"/>
          <w:color w:val="2C3440"/>
          <w:sz w:val="2"/>
          <w:szCs w:val="2"/>
        </w:rPr>
        <w:t xml:space="preserve"/>
      </w:r>
    </w:p>
    <w:p>
      <w:pPr>
        <w:spacing w:after="180" w:before="60" w:line="264"/>
        <w:ind w:left="280"/>
      </w:pPr>
      <w:r>
        <w:rPr>
          <w:rFonts w:ascii="Calibri" w:cs="Calibri" w:eastAsia="Calibri" w:hAnsi="Calibri"/>
          <w:b w:val="false"/>
          <w:bCs w:val="false"/>
          <w:i/>
          <w:iCs/>
          <w:caps w:val="false"/>
          <w:color w:val="6B7480"/>
          <w:sz w:val="17"/>
          <w:szCs w:val="17"/>
        </w:rPr>
        <w:t xml:space="preserve">The repricing trigger is what lets you reopen the price when the vacant fourth-floor suite gets leased. Without it, you absorb the added area for the rest of the term.</w:t>
      </w:r>
    </w:p>
    <w:p>
      <w:r>
        <w:br w:type="page"/>
      </w:r>
    </w:p>
    <w:p>
      <w:pPr>
        <w:pStyle w:val="Heading1"/>
        <w:keepNext/>
        <w:spacing w:after="60" w:before="360"/>
      </w:pPr>
      <w:r>
        <w:rPr>
          <w:rFonts w:ascii="Georgia" w:cs="Georgia" w:eastAsia="Georgia" w:hAnsi="Georgia"/>
          <w:b/>
          <w:bCs/>
          <w:i w:val="false"/>
          <w:iCs w:val="false"/>
          <w:caps w:val="false"/>
          <w:color w:val="2C3440"/>
          <w:sz w:val="30"/>
          <w:szCs w:val="30"/>
        </w:rPr>
        <w:t xml:space="preserve">8. Acceptance</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By signing below, both parties agree to the scope, frequency schedule, pricing, and terms described in this proposal.</w:t>
      </w:r>
    </w:p>
    <w:p>
      <w:pPr>
        <w:spacing w:after="300"/>
      </w:pPr>
      <w:r>
        <w:rPr>
          <w:rFonts w:ascii="Calibri" w:cs="Calibri" w:eastAsia="Calibri" w:hAnsi="Calibri"/>
          <w:b w:val="false"/>
          <w:bCs w:val="false"/>
          <w:i w:val="false"/>
          <w:iCs w:val="false"/>
          <w:caps w:val="false"/>
          <w:color w:val="2C3440"/>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cantSplit/>
          <w:tblHeader/>
        </w:trPr>
        <w:tc>
          <w:tcPr>
            <w:tcW w:type="dxa" w:w="504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SERVICE PROVIDER</w:t>
            </w:r>
          </w:p>
        </w:tc>
        <w:tc>
          <w:tcPr>
            <w:tcW w:type="dxa" w:w="504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CLIENT</w:t>
            </w:r>
          </w:p>
        </w:tc>
      </w:tr>
      <w:tr>
        <w:trPr>
          <w:cantSplit/>
          <w:tblHeader w:val="false"/>
        </w:trPr>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26"/>
                <w:szCs w:val="26"/>
              </w:rPr>
              <w:t xml:space="preserve"> </w:t>
            </w:r>
          </w:p>
        </w:tc>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26"/>
                <w:szCs w:val="26"/>
              </w:rPr>
              <w:t xml:space="preserve"> </w:t>
            </w:r>
          </w:p>
        </w:tc>
      </w:tr>
      <w:tr>
        <w:trPr>
          <w:cantSplit/>
          <w:tblHeader w:val="false"/>
        </w:trPr>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Signature: ______________________________</w:t>
            </w:r>
          </w:p>
        </w:tc>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Signature: ______________________________</w:t>
            </w:r>
          </w:p>
        </w:tc>
      </w:tr>
      <w:tr>
        <w:trPr>
          <w:cantSplit/>
          <w:tblHeader w:val="false"/>
        </w:trPr>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Printed name: Marcus Hale</w:t>
            </w:r>
          </w:p>
        </w:tc>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Printed name: Diane Reyes</w:t>
            </w:r>
          </w:p>
        </w:tc>
      </w:tr>
      <w:tr>
        <w:trPr>
          <w:cantSplit/>
          <w:tblHeader w:val="false"/>
        </w:trPr>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Title: Operations Director</w:t>
            </w:r>
          </w:p>
        </w:tc>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Title: Property Manager</w:t>
            </w:r>
          </w:p>
        </w:tc>
      </w:tr>
      <w:tr>
        <w:trPr>
          <w:cantSplit/>
          <w:tblHeader w:val="false"/>
        </w:trPr>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Date: ____________________</w:t>
            </w:r>
          </w:p>
        </w:tc>
        <w:tc>
          <w:tcPr>
            <w:tcW w:type="dxa" w:w="504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9"/>
                <w:szCs w:val="19"/>
              </w:rPr>
              <w:t xml:space="preserve">Date: ____________________</w:t>
            </w:r>
          </w:p>
        </w:tc>
      </w:tr>
    </w:tbl>
    <w:p>
      <w:pPr>
        <w:spacing w:after="400"/>
      </w:pPr>
      <w:r>
        <w:rPr>
          <w:rFonts w:ascii="Calibri" w:cs="Calibri" w:eastAsia="Calibri" w:hAnsi="Calibri"/>
          <w:b w:val="false"/>
          <w:bCs w:val="false"/>
          <w:i w:val="false"/>
          <w:iCs w:val="false"/>
          <w:caps w:val="false"/>
          <w:color w:val="2C3440"/>
          <w:sz w:val="2"/>
          <w:szCs w:val="2"/>
        </w:rPr>
        <w:t xml:space="preserve"/>
      </w:r>
    </w:p>
    <w:p>
      <w:pPr>
        <w:jc w:val="center"/>
      </w:pPr>
      <w:r>
        <w:rPr>
          <w:rFonts w:ascii="Calibri" w:cs="Calibri" w:eastAsia="Calibri" w:hAnsi="Calibri"/>
          <w:b w:val="false"/>
          <w:bCs w:val="false"/>
          <w:i w:val="false"/>
          <w:iCs w:val="false"/>
          <w:caps w:val="false"/>
          <w:color w:val="6B7480"/>
          <w:sz w:val="17"/>
          <w:szCs w:val="17"/>
        </w:rPr>
        <w:t xml:space="preserve">Template provided by ProTeams — proteams.io</w:t>
      </w:r>
    </w:p>
    <w:p>
      <w:r>
        <w:br w:type="page"/>
      </w:r>
    </w:p>
    <w:p>
      <w:pPr>
        <w:keepNext/>
        <w:spacing w:after="60" w:before="0"/>
      </w:pPr>
      <w:r>
        <w:rPr>
          <w:rFonts w:ascii="Calibri" w:cs="Calibri" w:eastAsia="Calibri" w:hAnsi="Calibri"/>
          <w:b/>
          <w:bCs/>
          <w:i w:val="false"/>
          <w:iCs w:val="false"/>
          <w:caps/>
          <w:color w:val="078037"/>
          <w:spacing w:val="30"/>
          <w:sz w:val="15"/>
          <w:szCs w:val="15"/>
        </w:rPr>
        <w:t xml:space="preserve">Internal reference — delete this page before sending</w:t>
      </w:r>
    </w:p>
    <w:p>
      <w:pPr>
        <w:pStyle w:val="Heading1"/>
        <w:keepNext/>
        <w:spacing w:after="60" w:before="360"/>
      </w:pPr>
      <w:r>
        <w:rPr>
          <w:rFonts w:ascii="Georgia" w:cs="Georgia" w:eastAsia="Georgia" w:hAnsi="Georgia"/>
          <w:b/>
          <w:bCs/>
          <w:i w:val="false"/>
          <w:iCs w:val="false"/>
          <w:caps w:val="false"/>
          <w:color w:val="2C3440"/>
          <w:sz w:val="30"/>
          <w:szCs w:val="30"/>
        </w:rPr>
        <w:t xml:space="preserve">How the Price Was Built</w:t>
      </w:r>
    </w:p>
    <w:p>
      <w:pPr>
        <w:pBdr>
          <w:bottom w:val="single" w:color="D9DEDA" w:sz="6" w:space="1"/>
        </w:pBdr>
        <w:spacing w:after="180" w:before="40"/>
      </w:pPr>
      <w:r>
        <w:rPr>
          <w:rFonts w:ascii="Calibri" w:cs="Calibri" w:eastAsia="Calibri" w:hAnsi="Calibri"/>
          <w:b w:val="false"/>
          <w:bCs w:val="false"/>
          <w:i w:val="false"/>
          <w:iCs w:val="false"/>
          <w:caps w:val="false"/>
          <w:color w:val="2C3440"/>
          <w:sz w:val="2"/>
          <w:szCs w:val="2"/>
        </w:rPr>
        <w:t xml:space="preserve"/>
      </w:r>
    </w:p>
    <w:p>
      <w:pPr>
        <w:keepNext w:val="false"/>
        <w:spacing w:after="120" w:before="0" w:line="276"/>
        <w:jc w:val="left"/>
      </w:pPr>
      <w:r>
        <w:rPr>
          <w:rFonts w:ascii="Calibri" w:cs="Calibri" w:eastAsia="Calibri" w:hAnsi="Calibri"/>
          <w:b w:val="false"/>
          <w:bCs w:val="false"/>
          <w:i w:val="false"/>
          <w:iCs w:val="false"/>
          <w:caps w:val="false"/>
          <w:color w:val="2C3440"/>
          <w:sz w:val="20"/>
          <w:szCs w:val="20"/>
        </w:rPr>
        <w:t xml:space="preserve">This page is not part of the client proposal. It shows the arithmetic behind the $5,775 monthly figure so you can rebuild it for your own building.</w:t>
      </w:r>
    </w:p>
    <w:p>
      <w:pPr>
        <w:spacing w:after="100"/>
      </w:pPr>
      <w:r>
        <w:rPr>
          <w:rFonts w:ascii="Calibri" w:cs="Calibri" w:eastAsia="Calibri" w:hAnsi="Calibri"/>
          <w:b w:val="false"/>
          <w:bCs w:val="false"/>
          <w:i w:val="false"/>
          <w:iCs w:val="false"/>
          <w:caps w:val="false"/>
          <w:color w:val="2C3440"/>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480"/>
        <w:gridCol w:w="2300"/>
        <w:gridCol w:w="2300"/>
      </w:tblGrid>
      <w:tr>
        <w:trPr>
          <w:cantSplit/>
          <w:tblHeader/>
        </w:trPr>
        <w:tc>
          <w:tcPr>
            <w:tcW w:type="dxa" w:w="548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Line</w:t>
            </w:r>
          </w:p>
        </w:tc>
        <w:tc>
          <w:tcPr>
            <w:tcW w:type="dxa" w:w="23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FFFFFF"/>
                <w:sz w:val="18"/>
                <w:szCs w:val="18"/>
              </w:rPr>
              <w:t xml:space="preserve">Basis</w:t>
            </w:r>
          </w:p>
        </w:tc>
        <w:tc>
          <w:tcPr>
            <w:tcW w:type="dxa" w:w="23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FFFFFF"/>
                <w:sz w:val="18"/>
                <w:szCs w:val="18"/>
              </w:rPr>
              <w:t xml:space="preserve">Amount</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Nightly labor hours</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45,000 ÷ 5,355 × 60 = 8.4 hrs</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8.5 hrs</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Monthly labor hours</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8.5 hrs × 21.67 nights</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184 hrs</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Base wage</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BLS median, SOC 37-2011</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$17.27 / hr</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Labor burden multiplier</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Taxes, WC, benefits</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1.25×</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Fully burdened labor rate</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$17.27 × 1.25</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$21.59 / hr</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Monthly labor cost</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184 hrs × $21.59</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$3,972.56</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Supplies and equipment</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Illustrative</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$185.00</w:t>
            </w:r>
          </w:p>
        </w:tc>
      </w:tr>
      <w:tr>
        <w:trPr>
          <w:cantSplit/>
          <w:tblHeader w:val="false"/>
        </w:trPr>
        <w:tc>
          <w:tcPr>
            <w:tcW w:type="dxa" w:w="548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8"/>
                <w:szCs w:val="18"/>
              </w:rPr>
              <w:t xml:space="preserve">Direct cost</w:t>
            </w:r>
          </w:p>
        </w:tc>
        <w:tc>
          <w:tcPr>
            <w:tcW w:type="dxa" w:w="23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
            </w:r>
          </w:p>
        </w:tc>
        <w:tc>
          <w:tcPr>
            <w:tcW w:type="dxa" w:w="23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2C3440"/>
                <w:sz w:val="18"/>
                <w:szCs w:val="18"/>
              </w:rPr>
              <w:t xml:space="preserve">$4,157.56</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Overhead allocation</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18% of direct — illustrative</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$748.36</w:t>
            </w:r>
          </w:p>
        </w:tc>
      </w:tr>
      <w:tr>
        <w:trPr>
          <w:cantSplit/>
          <w:tblHeader w:val="false"/>
        </w:trPr>
        <w:tc>
          <w:tcPr>
            <w:tcW w:type="dxa" w:w="548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8"/>
                <w:szCs w:val="18"/>
              </w:rPr>
              <w:t xml:space="preserve">Total cost</w:t>
            </w:r>
          </w:p>
        </w:tc>
        <w:tc>
          <w:tcPr>
            <w:tcW w:type="dxa" w:w="23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
            </w:r>
          </w:p>
        </w:tc>
        <w:tc>
          <w:tcPr>
            <w:tcW w:type="dxa" w:w="23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2C3440"/>
                <w:sz w:val="18"/>
                <w:szCs w:val="18"/>
              </w:rPr>
              <w:t xml:space="preserve">$4,905.92</w:t>
            </w:r>
          </w:p>
        </w:tc>
      </w:tr>
      <w:tr>
        <w:trPr>
          <w:cantSplit/>
          <w:tblHeader w:val="false"/>
        </w:trPr>
        <w:tc>
          <w:tcPr>
            <w:tcW w:type="dxa" w:w="54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Target gross margin</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15% of price — illustrative</w:t>
            </w:r>
          </w:p>
        </w:tc>
        <w:tc>
          <w:tcPr>
            <w:tcW w:type="dxa" w:w="23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$869.08</w:t>
            </w:r>
          </w:p>
        </w:tc>
      </w:tr>
      <w:tr>
        <w:trPr>
          <w:cantSplit/>
          <w:tblHeader w:val="false"/>
        </w:trPr>
        <w:tc>
          <w:tcPr>
            <w:tcW w:type="dxa" w:w="548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2C3440"/>
                <w:sz w:val="18"/>
                <w:szCs w:val="18"/>
              </w:rPr>
              <w:t xml:space="preserve">Quoted price (rounded)</w:t>
            </w:r>
          </w:p>
        </w:tc>
        <w:tc>
          <w:tcPr>
            <w:tcW w:type="dxa" w:w="23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right"/>
            </w:pPr>
            <w:r>
              <w:rPr>
                <w:rFonts w:ascii="Calibri" w:cs="Calibri" w:eastAsia="Calibri" w:hAnsi="Calibri"/>
                <w:b w:val="false"/>
                <w:bCs w:val="false"/>
                <w:i w:val="false"/>
                <w:iCs w:val="false"/>
                <w:caps w:val="false"/>
                <w:color w:val="2C3440"/>
                <w:sz w:val="18"/>
                <w:szCs w:val="18"/>
              </w:rPr>
              <w:t xml:space="preserve">$4,905.92 ÷ 0.85</w:t>
            </w:r>
          </w:p>
        </w:tc>
        <w:tc>
          <w:tcPr>
            <w:tcW w:type="dxa" w:w="23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right"/>
            </w:pPr>
            <w:r>
              <w:rPr>
                <w:rFonts w:ascii="Calibri" w:cs="Calibri" w:eastAsia="Calibri" w:hAnsi="Calibri"/>
                <w:b/>
                <w:bCs/>
                <w:i w:val="false"/>
                <w:iCs w:val="false"/>
                <w:caps w:val="false"/>
                <w:color w:val="2C3440"/>
                <w:sz w:val="18"/>
                <w:szCs w:val="18"/>
              </w:rPr>
              <w:t xml:space="preserve">$5,775 / mo</w:t>
            </w:r>
          </w:p>
        </w:tc>
      </w:tr>
    </w:tbl>
    <w:p>
      <w:pPr>
        <w:spacing w:after="200"/>
      </w:pPr>
      <w:r>
        <w:rPr>
          <w:rFonts w:ascii="Calibri" w:cs="Calibri" w:eastAsia="Calibri" w:hAnsi="Calibri"/>
          <w:b w:val="false"/>
          <w:bCs w:val="false"/>
          <w:i w:val="false"/>
          <w:iCs w:val="false"/>
          <w:caps w:val="false"/>
          <w:color w:val="2C3440"/>
          <w:sz w:val="2"/>
          <w:szCs w:val="2"/>
        </w:rPr>
        <w:t xml:space="preserve"/>
      </w:r>
    </w:p>
    <w:p>
      <w:pPr>
        <w:pStyle w:val="Heading2"/>
        <w:keepNext/>
        <w:spacing w:after="60" w:before="260"/>
      </w:pPr>
      <w:r>
        <w:rPr>
          <w:rFonts w:ascii="Georgia" w:cs="Georgia" w:eastAsia="Georgia" w:hAnsi="Georgia"/>
          <w:b/>
          <w:bCs/>
          <w:i w:val="false"/>
          <w:iCs w:val="false"/>
          <w:caps w:val="false"/>
          <w:color w:val="2C3440"/>
          <w:sz w:val="23"/>
          <w:szCs w:val="23"/>
        </w:rPr>
        <w:t xml:space="preserve">What is sourced and what is yours to set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00"/>
        <w:gridCol w:w="6680"/>
      </w:tblGrid>
      <w:tr>
        <w:trPr>
          <w:cantSplit/>
          <w:tblHeader/>
        </w:trPr>
        <w:tc>
          <w:tcPr>
            <w:tcW w:type="dxa" w:w="340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Input</w:t>
            </w:r>
          </w:p>
        </w:tc>
        <w:tc>
          <w:tcPr>
            <w:tcW w:type="dxa" w:w="6680"/>
            <w:gridSpan w:val="1"/>
            <w:tcBorders>
              <w:top w:val="single" w:color="D9DEDA" w:sz="4"/>
              <w:left w:val="single" w:color="D9DEDA" w:sz="4"/>
              <w:bottom w:val="single" w:color="D9DEDA" w:sz="4"/>
              <w:right w:val="single" w:color="D9DEDA" w:sz="4"/>
            </w:tcBorders>
            <w:shd w:fill="2C3440" w:color="auto" w:val="clear"/>
            <w:tcMar>
              <w:top w:type="dxa" w:w="90"/>
              <w:left w:type="dxa" w:w="130"/>
              <w:bottom w:type="dxa" w:w="90"/>
              <w:right w:type="dxa" w:w="130"/>
            </w:tcMar>
            <w:vAlign w:val="center"/>
          </w:tcPr>
          <w:p>
            <w:pPr>
              <w:spacing w:after="0" w:line="240"/>
              <w:jc w:val="left"/>
            </w:pPr>
            <w:r>
              <w:rPr>
                <w:rFonts w:ascii="Calibri" w:cs="Calibri" w:eastAsia="Calibri" w:hAnsi="Calibri"/>
                <w:b/>
                <w:bCs/>
                <w:i w:val="false"/>
                <w:iCs w:val="false"/>
                <w:caps w:val="false"/>
                <w:color w:val="FFFFFF"/>
                <w:sz w:val="18"/>
                <w:szCs w:val="18"/>
              </w:rPr>
              <w:t xml:space="preserve">Where it comes from</w:t>
            </w:r>
          </w:p>
        </w:tc>
      </w:tr>
      <w:tr>
        <w:trPr>
          <w:cantSplit/>
          <w:tblHeader w:val="false"/>
        </w:trPr>
        <w:tc>
          <w:tcPr>
            <w:tcW w:type="dxa" w:w="34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Production rate 5,355 sq ft/hr</w:t>
            </w:r>
          </w:p>
        </w:tc>
        <w:tc>
          <w:tcPr>
            <w:tcW w:type="dxa" w:w="66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The example rate published in ISSA’s free article on calculating cleaning times. Replace it with a rate measured on your own crews as soon as you have one — your crews are not the industry average.</w:t>
            </w:r>
          </w:p>
        </w:tc>
      </w:tr>
      <w:tr>
        <w:trPr>
          <w:cantSplit/>
          <w:tblHeader w:val="false"/>
        </w:trPr>
        <w:tc>
          <w:tcPr>
            <w:tcW w:type="dxa" w:w="34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Base wage $17.27/hr</w:t>
            </w:r>
          </w:p>
        </w:tc>
        <w:tc>
          <w:tcPr>
            <w:tcW w:type="dxa" w:w="668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BLS Occupational Outlook Handbook, median hourly wage for Janitors and Cleaners (SOC 37-2011), May 2024. Use your actual paid wage once you know it.</w:t>
            </w:r>
          </w:p>
        </w:tc>
      </w:tr>
      <w:tr>
        <w:trPr>
          <w:cantSplit/>
          <w:tblHeader w:val="false"/>
        </w:trPr>
        <w:tc>
          <w:tcPr>
            <w:tcW w:type="dxa" w:w="34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Burden 1.25×</w:t>
            </w:r>
          </w:p>
        </w:tc>
        <w:tc>
          <w:tcPr>
            <w:tcW w:type="dxa" w:w="66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Typical range is 1.15× to 1.30× depending on state unemployment rate, workers’ compensation class rate, and benefits. Calculate yours from a real payroll register.</w:t>
            </w:r>
          </w:p>
        </w:tc>
      </w:tr>
      <w:tr>
        <w:trPr>
          <w:cantSplit/>
          <w:tblHeader w:val="false"/>
        </w:trPr>
        <w:tc>
          <w:tcPr>
            <w:tcW w:type="dxa" w:w="34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Supplies $185/mo</w:t>
            </w:r>
          </w:p>
        </w:tc>
        <w:tc>
          <w:tcPr>
            <w:tcW w:type="dxa" w:w="668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Illustrative. Track actual consumption per building for one quarter and use that.</w:t>
            </w:r>
          </w:p>
        </w:tc>
      </w:tr>
      <w:tr>
        <w:trPr>
          <w:cantSplit/>
          <w:tblHeader w:val="false"/>
        </w:trPr>
        <w:tc>
          <w:tcPr>
            <w:tcW w:type="dxa" w:w="340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Overhead 18%</w:t>
            </w:r>
          </w:p>
        </w:tc>
        <w:tc>
          <w:tcPr>
            <w:tcW w:type="dxa" w:w="6680"/>
            <w:gridSpan w:val="1"/>
            <w:tcBorders>
              <w:top w:val="single" w:color="D9DEDA" w:sz="4"/>
              <w:left w:val="single" w:color="D9DEDA" w:sz="4"/>
              <w:bottom w:val="single" w:color="D9DEDA" w:sz="4"/>
              <w:right w:val="single" w:color="D9DEDA" w:sz="4"/>
            </w:tcBorders>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Illustrative. Yours is total annual overhead divided by total annual direct cost. Only your P&amp;L can tell you.</w:t>
            </w:r>
          </w:p>
        </w:tc>
      </w:tr>
      <w:tr>
        <w:trPr>
          <w:cantSplit/>
          <w:tblHeader w:val="false"/>
        </w:trPr>
        <w:tc>
          <w:tcPr>
            <w:tcW w:type="dxa" w:w="340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Margin 15%</w:t>
            </w:r>
          </w:p>
        </w:tc>
        <w:tc>
          <w:tcPr>
            <w:tcW w:type="dxa" w:w="6680"/>
            <w:gridSpan w:val="1"/>
            <w:tcBorders>
              <w:top w:val="single" w:color="D9DEDA" w:sz="4"/>
              <w:left w:val="single" w:color="D9DEDA" w:sz="4"/>
              <w:bottom w:val="single" w:color="D9DEDA" w:sz="4"/>
              <w:right w:val="single" w:color="D9DEDA" w:sz="4"/>
            </w:tcBorders>
            <w:shd w:fill="F2F5F3" w:color="auto" w:val="clear"/>
            <w:tcMar>
              <w:top w:type="dxa" w:w="90"/>
              <w:left w:type="dxa" w:w="130"/>
              <w:bottom w:type="dxa" w:w="90"/>
              <w:right w:type="dxa" w:w="130"/>
            </w:tcMar>
            <w:vAlign w:val="center"/>
          </w:tcPr>
          <w:p>
            <w:pPr>
              <w:spacing w:after="0" w:line="240"/>
              <w:jc w:val="left"/>
            </w:pPr>
            <w:r>
              <w:rPr>
                <w:rFonts w:ascii="Calibri" w:cs="Calibri" w:eastAsia="Calibri" w:hAnsi="Calibri"/>
                <w:b w:val="false"/>
                <w:bCs w:val="false"/>
                <w:i w:val="false"/>
                <w:iCs w:val="false"/>
                <w:caps w:val="false"/>
                <w:color w:val="2C3440"/>
                <w:sz w:val="18"/>
                <w:szCs w:val="18"/>
              </w:rPr>
              <w:t xml:space="preserve">Illustrative. A business decision, not a formula.</w:t>
            </w:r>
          </w:p>
        </w:tc>
      </w:tr>
    </w:tbl>
    <w:p>
      <w:pPr>
        <w:spacing w:after="180"/>
      </w:pPr>
      <w:r>
        <w:rPr>
          <w:rFonts w:ascii="Calibri" w:cs="Calibri" w:eastAsia="Calibri" w:hAnsi="Calibri"/>
          <w:b w:val="false"/>
          <w:bCs w:val="false"/>
          <w:i w:val="false"/>
          <w:iCs w:val="false"/>
          <w:caps w:val="false"/>
          <w:color w:val="2C3440"/>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2F5F3" w:sz="0"/>
              <w:left w:val="single" w:color="078037" w:sz="18"/>
              <w:bottom w:val="none" w:color="F2F5F3" w:sz="0"/>
              <w:right w:val="none" w:color="F2F5F3" w:sz="0"/>
            </w:tcBorders>
            <w:shd w:fill="F2F5F3" w:color="auto" w:val="clear"/>
            <w:tcMar>
              <w:top w:type="dxa" w:w="200"/>
              <w:left w:type="dxa" w:w="220"/>
              <w:bottom w:type="dxa" w:w="200"/>
              <w:right w:type="dxa" w:w="220"/>
            </w:tcMar>
          </w:tcPr>
          <w:p>
            <w:pPr>
              <w:spacing w:after="80"/>
            </w:pPr>
            <w:r>
              <w:rPr>
                <w:rFonts w:ascii="Calibri" w:cs="Calibri" w:eastAsia="Calibri" w:hAnsi="Calibri"/>
                <w:b/>
                <w:bCs/>
                <w:i w:val="false"/>
                <w:iCs w:val="false"/>
                <w:caps/>
                <w:color w:val="078037"/>
                <w:spacing w:val="25"/>
                <w:sz w:val="17"/>
                <w:szCs w:val="17"/>
              </w:rPr>
              <w:t xml:space="preserve">Two numbers you have to own</w:t>
            </w:r>
          </w:p>
          <w:p>
            <w:pPr>
              <w:spacing w:after="100" w:line="264"/>
            </w:pPr>
            <w:r>
              <w:rPr>
                <w:rFonts w:ascii="Calibri" w:cs="Calibri" w:eastAsia="Calibri" w:hAnsi="Calibri"/>
                <w:b w:val="false"/>
                <w:bCs w:val="false"/>
                <w:i w:val="false"/>
                <w:iCs w:val="false"/>
                <w:caps w:val="false"/>
                <w:color w:val="2C3440"/>
                <w:sz w:val="18"/>
                <w:szCs w:val="18"/>
              </w:rPr>
              <w:t xml:space="preserve">Overhead percentage and target margin are the only two inputs above that no external source can give you. Every other line traces to a published figure or a measurement you can take. If you are guessing at those two, you are guessing at your price.</w:t>
            </w:r>
          </w:p>
          <w:p>
            <w:pPr>
              <w:spacing w:after="0" w:line="264"/>
            </w:pPr>
            <w:r>
              <w:rPr>
                <w:rFonts w:ascii="Calibri" w:cs="Calibri" w:eastAsia="Calibri" w:hAnsi="Calibri"/>
                <w:b/>
                <w:bCs/>
                <w:i w:val="false"/>
                <w:iCs w:val="false"/>
                <w:caps w:val="false"/>
                <w:color w:val="078037"/>
                <w:sz w:val="18"/>
                <w:szCs w:val="18"/>
              </w:rPr>
              <w:t xml:space="preserve">ProTeams calculates all of it from your real payroll and hours — proteams.io</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EDA" w:sz="4" w:space="6"/>
      </w:pBdr>
      <w:tabs>
        <w:tab w:val="right" w:pos="10080"/>
      </w:tabs>
      <w:spacing w:before="60"/>
    </w:pPr>
    <w:r>
      <w:rPr>
        <w:rFonts w:ascii="Calibri" w:cs="Calibri" w:eastAsia="Calibri" w:hAnsi="Calibri"/>
        <w:b w:val="false"/>
        <w:bCs w:val="false"/>
        <w:i w:val="false"/>
        <w:iCs w:val="false"/>
        <w:caps w:val="false"/>
        <w:color w:val="6B7480"/>
        <w:sz w:val="15"/>
        <w:szCs w:val="15"/>
      </w:rPr>
      <w:t xml:space="preserve">Commercial Cleaning Proposal · Brookfield Commons · SAMPLE</w:t>
    </w:r>
    <w:r>
      <w:rPr>
        <w:rFonts w:ascii="Calibri" w:cs="Calibri" w:eastAsia="Calibri" w:hAnsi="Calibri"/>
        <w:sz w:val="15"/>
        <w:szCs w:val="15"/>
      </w:rPr>
      <w:t xml:space="preserve">		</w:t>
    </w:r>
    <w:r>
      <w:rPr>
        <w:rFonts w:ascii="Calibri" w:cs="Calibri" w:eastAsia="Calibri" w:hAnsi="Calibri"/>
        <w:b w:val="false"/>
        <w:bCs w:val="false"/>
        <w:i w:val="false"/>
        <w:iCs w:val="false"/>
        <w:caps w:val="false"/>
        <w:color w:val="6B7480"/>
        <w:sz w:val="15"/>
        <w:szCs w:val="15"/>
      </w:rPr>
      <w:t xml:space="preserve">Page </w:t>
    </w:r>
    <w:r>
      <w:rPr>
        <w:rFonts w:ascii="Calibri" w:cs="Calibri" w:eastAsia="Calibri" w:hAnsi="Calibri"/>
        <w:color w:val="6B7480"/>
        <w:sz w:val="15"/>
        <w:szCs w:val="15"/>
      </w:rPr>
      <w:fldChar w:fldCharType="begin"/>
      <w:instrText xml:space="preserve">PAGE</w:instrText>
      <w:fldChar w:fldCharType="separate"/>
      <w:fldChar w:fldCharType="end"/>
    </w:r>
    <w:r>
      <w:rPr>
        <w:rFonts w:ascii="Calibri" w:cs="Calibri" w:eastAsia="Calibri" w:hAnsi="Calibri"/>
        <w:b w:val="false"/>
        <w:bCs w:val="false"/>
        <w:i w:val="false"/>
        <w:iCs w:val="false"/>
        <w:caps w:val="false"/>
        <w:color w:val="6B7480"/>
        <w:sz w:val="15"/>
        <w:szCs w:val="15"/>
      </w:rPr>
      <w:t xml:space="preserve"> of </w:t>
    </w:r>
    <w:r>
      <w:rPr>
        <w:rFonts w:ascii="Calibri" w:cs="Calibri" w:eastAsia="Calibri" w:hAnsi="Calibri"/>
        <w:color w:val="6B7480"/>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20"/>
      </w:pPr>
      <w:rPr>
        <w:color w:val="078037"/>
      </w:rPr>
    </w:lvl>
  </w:abstractNum>
  <w:abstractNum w:abstractNumId="3" w15:restartNumberingAfterBreak="0">
    <w:multiLevelType w:val="hybridMultilevel"/>
    <w:lvl w:ilvl="0" w15:tentative="1">
      <w:start w:val="1"/>
      <w:numFmt w:val="decimal"/>
      <w:lvlText w:val="%1."/>
      <w:lvlJc w:val="left"/>
      <w:pPr>
        <w:ind w:left="360" w:hanging="240"/>
      </w:pPr>
      <w:rPr>
        <w:b/>
        <w:bCs/>
        <w:color w:val="07803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C344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 Proposal — Completed Sample</dc:title>
  <dc:creator>ProTeams</dc:creator>
  <dc:description>The ProTeams commercial cleaning proposal template, filled out end to end. Sample only.</dc:description>
  <cp:lastModifiedBy>Un-named</cp:lastModifiedBy>
  <cp:revision>1</cp:revision>
  <dcterms:created xsi:type="dcterms:W3CDTF">2026-07-24T02:16:44.481Z</dcterms:created>
  <dcterms:modified xsi:type="dcterms:W3CDTF">2026-07-24T02:16:44.483Z</dcterms:modified>
</cp:coreProperties>
</file>

<file path=docProps/custom.xml><?xml version="1.0" encoding="utf-8"?>
<Properties xmlns="http://schemas.openxmlformats.org/officeDocument/2006/custom-properties" xmlns:vt="http://schemas.openxmlformats.org/officeDocument/2006/docPropsVTypes"/>
</file>